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82026_050802.xml.htm"/>
      <w:bookmarkStart w:id="1" w:name="ksform408182026_0508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Rieger Jayson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VERRICA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 W. GAY ST.,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CHESTER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Verrica Pharmaceuticals Inc.</w:t>
              </w:r>
            </w:hyperlink>
            <w:r>
              <w:rPr/>
              <w:t xml:space="preserve"> [ </w:t>
            </w:r>
            <w:r>
              <w:rPr>
                <w:rFonts w:ascii="Times;serif" w:hAnsi="Times;serif"/>
                <w:color w:val="0000FF"/>
                <w:sz w:val="24"/>
                <w:shd w:fill="FFFFFF" w:val="clear"/>
              </w:rPr>
              <w:t>VRCA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32"/>
        <w:gridCol w:w="456"/>
        <w:gridCol w:w="713"/>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5.06</w:t>
            </w: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202,593</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207,593</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child</w:t>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purchased in multiple transactions at prices ranging from $5.04 to $5.088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in separate trusts for the benefit of the Reporting Person's immediate family members. The Reporting Person is a co-trustee of each trust. The Reporting Person disclaims beneficial ownership of these securities, and the filing of this report is not an admission that the Reporting Person is the beneficial owner of these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Jayson Rieger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3558" TargetMode="External"/><Relationship Id="rId5" Type="http://schemas.openxmlformats.org/officeDocument/2006/relationships/hyperlink" Target="http://www.sec.gov/cgi-bin/browse-edgar?action=getcompany&amp;CIK=00016603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738</Words>
  <Characters>3943</Characters>
  <CharactersWithSpaces>4588</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