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92026_040606.xml.htm"/>
      <w:bookmarkStart w:id="1" w:name="ksform406092026_0406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Eichenfield Lawrence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VERRICA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WEST GAY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Verrica Pharmaceuticals Inc.</w:t>
              </w:r>
            </w:hyperlink>
            <w:r>
              <w:rPr/>
              <w:t xml:space="preserve"> [ </w:t>
            </w:r>
            <w:r>
              <w:rPr>
                <w:rFonts w:ascii="Times;serif" w:hAnsi="Times;serif"/>
                <w:color w:val="0000FF"/>
                <w:sz w:val="24"/>
                <w:shd w:fill="FFFFFF" w:val="clear"/>
              </w:rPr>
              <w:t>VRCA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shall vest and become exercisable in 12 equal monthly installments beginning on July 5, 2026 and, in any event, will be fully vested on the date of the next annual meeting of stockholders, subject to continued service as a director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Eichenfeld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4892" TargetMode="External"/><Relationship Id="rId5" Type="http://schemas.openxmlformats.org/officeDocument/2006/relationships/hyperlink" Target="http://www.sec.gov/cgi-bin/browse-edgar?action=getcompany&amp;CIK=000166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3367</Characters>
  <CharactersWithSpaces>3926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