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001-38529</w:t>
      </w:r>
    </w:p>
    <w:p>
      <w:pPr>
        <w:spacing w:after="0" w:line="3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Verrica Pharmaceuticals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49"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46-3137900</w:t>
            </w:r>
          </w:p>
        </w:tc>
      </w:tr>
      <w:tr>
        <w:trPr>
          <w:trHeight w:val="196"/>
        </w:trPr>
        <w:tc>
          <w:tcPr>
            <w:tcW w:w="4260" w:type="dxa"/>
            <w:vAlign w:val="bottom"/>
          </w:tcPr>
          <w:p>
            <w:pPr>
              <w:jc w:val="center"/>
              <w:ind w:right="192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7"/>
        </w:trPr>
        <w:tc>
          <w:tcPr>
            <w:tcW w:w="4260" w:type="dxa"/>
            <w:vAlign w:val="bottom"/>
          </w:tcPr>
          <w:p>
            <w:pPr>
              <w:jc w:val="center"/>
              <w:ind w:right="1924"/>
              <w:spacing w:after="0"/>
              <w:rPr>
                <w:sz w:val="20"/>
                <w:szCs w:val="20"/>
                <w:color w:val="auto"/>
              </w:rPr>
            </w:pPr>
            <w:r>
              <w:rPr>
                <w:rFonts w:ascii="Times New Roman" w:cs="Times New Roman" w:eastAsia="Times New Roman" w:hAnsi="Times New Roman"/>
                <w:sz w:val="18"/>
                <w:szCs w:val="18"/>
                <w:b w:val="1"/>
                <w:bCs w:val="1"/>
                <w:color w:val="auto"/>
                <w:w w:val="99"/>
              </w:rPr>
              <w:t>44 West Gay Street, Suite 400</w:t>
            </w:r>
          </w:p>
        </w:tc>
        <w:tc>
          <w:tcPr>
            <w:tcW w:w="2980" w:type="dxa"/>
            <w:vAlign w:val="bottom"/>
          </w:tcPr>
          <w:p>
            <w:pPr>
              <w:spacing w:after="0"/>
              <w:rPr>
                <w:sz w:val="20"/>
                <w:szCs w:val="20"/>
                <w:color w:val="auto"/>
              </w:rPr>
            </w:pPr>
          </w:p>
        </w:tc>
      </w:tr>
      <w:tr>
        <w:trPr>
          <w:trHeight w:val="238"/>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6"/>
              </w:rPr>
              <w:t>West Chester, PA</w:t>
            </w:r>
          </w:p>
        </w:tc>
        <w:tc>
          <w:tcPr>
            <w:tcW w:w="298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19380</w:t>
            </w:r>
          </w:p>
        </w:tc>
      </w:tr>
      <w:tr>
        <w:trPr>
          <w:trHeight w:val="200"/>
        </w:trPr>
        <w:tc>
          <w:tcPr>
            <w:tcW w:w="426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80" w:type="dxa"/>
            <w:vAlign w:val="bottom"/>
          </w:tcPr>
          <w:p>
            <w:pPr>
              <w:jc w:val="center"/>
              <w:ind w:left="192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(484) 453-3300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103"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80" w:type="dxa"/>
            <w:vAlign w:val="bottom"/>
          </w:tcPr>
          <w:p>
            <w:pPr>
              <w:spacing w:after="0"/>
              <w:rPr>
                <w:sz w:val="15"/>
                <w:szCs w:val="15"/>
                <w:color w:val="auto"/>
              </w:rPr>
            </w:pPr>
          </w:p>
        </w:tc>
      </w:tr>
      <w:tr>
        <w:trPr>
          <w:trHeight w:val="190"/>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r>
      <w:tr>
        <w:trPr>
          <w:trHeight w:val="217"/>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VRCA</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8" w:lineRule="exact"/>
        <w:rPr>
          <w:sz w:val="24"/>
          <w:szCs w:val="24"/>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115"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70" w:lineRule="exact"/>
        <w:rPr>
          <w:sz w:val="24"/>
          <w:szCs w:val="24"/>
          <w:color w:val="auto"/>
        </w:rPr>
      </w:pPr>
    </w:p>
    <w:p>
      <w:pPr>
        <w:ind w:right="22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60" w:type="dxa"/>
            <w:vAlign w:val="bottom"/>
          </w:tcPr>
          <w:p>
            <w:pPr>
              <w:ind w:left="820"/>
              <w:spacing w:after="0"/>
              <w:rPr>
                <w:sz w:val="20"/>
                <w:szCs w:val="20"/>
                <w:color w:val="auto"/>
              </w:rPr>
            </w:pPr>
            <w:r>
              <w:rPr>
                <w:rFonts w:ascii="Wingdings" w:cs="Wingdings" w:eastAsia="Wingdings" w:hAnsi="Wingdings"/>
                <w:sz w:val="18"/>
                <w:szCs w:val="18"/>
                <w:b w:val="1"/>
                <w:bCs w:val="1"/>
                <w:color w:val="auto"/>
              </w:rPr>
              <w:t>o</w:t>
            </w:r>
          </w:p>
        </w:tc>
        <w:tc>
          <w:tcPr>
            <w:tcW w:w="442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Accelerated filer</w:t>
            </w:r>
          </w:p>
        </w:tc>
        <w:tc>
          <w:tcPr>
            <w:tcW w:w="1020" w:type="dxa"/>
            <w:vAlign w:val="bottom"/>
          </w:tcPr>
          <w:p>
            <w:pPr>
              <w:ind w:left="82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60" w:type="dxa"/>
            <w:vAlign w:val="bottom"/>
          </w:tcPr>
          <w:p>
            <w:pPr>
              <w:ind w:left="820"/>
              <w:spacing w:after="0"/>
              <w:rPr>
                <w:sz w:val="20"/>
                <w:szCs w:val="20"/>
                <w:color w:val="auto"/>
              </w:rPr>
            </w:pPr>
            <w:r>
              <w:rPr>
                <w:rFonts w:ascii="Wingdings" w:cs="Wingdings" w:eastAsia="Wingdings" w:hAnsi="Wingdings"/>
                <w:sz w:val="18"/>
                <w:szCs w:val="18"/>
                <w:b w:val="1"/>
                <w:bCs w:val="1"/>
                <w:color w:val="auto"/>
              </w:rPr>
              <w:t>x</w:t>
            </w:r>
          </w:p>
        </w:tc>
        <w:tc>
          <w:tcPr>
            <w:tcW w:w="442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20" w:type="dxa"/>
            <w:vAlign w:val="bottom"/>
          </w:tcPr>
          <w:p>
            <w:pPr>
              <w:ind w:left="820"/>
              <w:spacing w:after="0"/>
              <w:rPr>
                <w:sz w:val="20"/>
                <w:szCs w:val="20"/>
                <w:color w:val="auto"/>
              </w:rPr>
            </w:pPr>
            <w:r>
              <w:rPr>
                <w:rFonts w:ascii="Wingdings" w:cs="Wingdings" w:eastAsia="Wingdings" w:hAnsi="Wingdings"/>
                <w:sz w:val="18"/>
                <w:szCs w:val="18"/>
                <w:b w:val="1"/>
                <w:bCs w:val="1"/>
                <w:color w:val="auto"/>
                <w:w w:val="94"/>
              </w:rPr>
              <w:t>x</w:t>
            </w:r>
          </w:p>
        </w:tc>
      </w:tr>
      <w:tr>
        <w:trPr>
          <w:trHeight w:val="324"/>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60" w:type="dxa"/>
            <w:vAlign w:val="bottom"/>
          </w:tcPr>
          <w:p>
            <w:pPr>
              <w:ind w:left="820"/>
              <w:spacing w:after="0"/>
              <w:rPr>
                <w:sz w:val="20"/>
                <w:szCs w:val="20"/>
                <w:color w:val="auto"/>
              </w:rPr>
            </w:pPr>
            <w:r>
              <w:rPr>
                <w:rFonts w:ascii="Wingdings" w:cs="Wingdings" w:eastAsia="Wingdings" w:hAnsi="Wingdings"/>
                <w:sz w:val="18"/>
                <w:szCs w:val="18"/>
                <w:b w:val="1"/>
                <w:bCs w:val="1"/>
                <w:color w:val="auto"/>
              </w:rPr>
              <w:t>o</w:t>
            </w:r>
          </w:p>
        </w:tc>
        <w:tc>
          <w:tcPr>
            <w:tcW w:w="4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8"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84" w:lineRule="exact"/>
        <w:rPr>
          <w:sz w:val="24"/>
          <w:szCs w:val="24"/>
          <w:color w:val="auto"/>
        </w:rPr>
      </w:pPr>
    </w:p>
    <w:p>
      <w:pPr>
        <w:ind w:right="2920"/>
        <w:spacing w:after="0" w:line="42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As of May 5, 2026, the registrant had 17,178,786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VERRICA PHARMACEUTICALS INC.</w:t>
            </w:r>
          </w:p>
        </w:tc>
        <w:tc>
          <w:tcPr>
            <w:tcW w:w="1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5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8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5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1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44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340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PART II. OTHER INFORMATION</w:t>
            </w:r>
          </w:p>
        </w:tc>
        <w:tc>
          <w:tcPr>
            <w:tcW w:w="7060" w:type="dxa"/>
            <w:vAlign w:val="bottom"/>
            <w:gridSpan w:val="9"/>
          </w:tcPr>
          <w:p>
            <w:pPr>
              <w:spacing w:after="0"/>
              <w:rPr>
                <w:sz w:val="24"/>
                <w:szCs w:val="24"/>
                <w:color w:val="auto"/>
              </w:rPr>
            </w:pPr>
          </w:p>
        </w:tc>
        <w:tc>
          <w:tcPr>
            <w:tcW w:w="158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Risk Factors</w:t>
            </w:r>
          </w:p>
        </w:tc>
        <w:tc>
          <w:tcPr>
            <w:tcW w:w="420" w:type="dxa"/>
            <w:vAlign w:val="bottom"/>
            <w:tcBorders>
              <w:top w:val="single" w:sz="8" w:color="auto"/>
            </w:tcBorders>
            <w:gridSpan w:val="3"/>
          </w:tcPr>
          <w:p>
            <w:pPr>
              <w:spacing w:after="0"/>
              <w:rPr>
                <w:sz w:val="24"/>
                <w:szCs w:val="24"/>
                <w:color w:val="auto"/>
              </w:rPr>
            </w:pPr>
          </w:p>
        </w:tc>
        <w:tc>
          <w:tcPr>
            <w:tcW w:w="650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5.</w:t>
            </w:r>
          </w:p>
        </w:tc>
        <w:tc>
          <w:tcPr>
            <w:tcW w:w="7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Exhibits</w:t>
            </w:r>
          </w:p>
        </w:tc>
        <w:tc>
          <w:tcPr>
            <w:tcW w:w="652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067"/>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Unaudited Financial Statements</w:t>
      </w:r>
    </w:p>
    <w:p>
      <w:pPr>
        <w:spacing w:after="0" w:line="19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Collaboration receivable, billed and unbilled</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R&amp;D services, current portion (Note 10)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R&amp;D services, non-current portion (Note 10)</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38,786</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47,131</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liability</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funding liability (Note 10)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22,731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22,388</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w:t>
            </w:r>
          </w:p>
        </w:tc>
        <w:tc>
          <w:tcPr>
            <w:tcW w:w="3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200,000,000 authorized;</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17,189,300 shares issued and 17,178,786 shares outstanding as of March 31, 2026 and December 31, 2025</w:t>
            </w: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 10,514 shares as of March 31, 2026 and December 31, 2025</w:t>
            </w:r>
          </w:p>
        </w:tc>
        <w:tc>
          <w:tcPr>
            <w:tcW w:w="3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350,648</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349,654</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(334,595)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(324,913)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16,055</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24,743</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38,786</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47,131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(Unaudited)</w:t>
      </w:r>
    </w:p>
    <w:p>
      <w:pPr>
        <w:spacing w:after="0" w:line="38"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9"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33020</wp:posOffset>
            </wp:positionV>
            <wp:extent cx="213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487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42"/>
        </w:trPr>
        <w:tc>
          <w:tcPr>
            <w:tcW w:w="7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r>
      <w:tr>
        <w:trPr>
          <w:trHeight w:val="27"/>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7"/>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product revenue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license and collaboration 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r>
      <w:tr>
        <w:trPr>
          <w:trHeight w:val="27"/>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r>
      <w:tr>
        <w:trPr>
          <w:trHeight w:val="27"/>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7"/>
        </w:trPr>
        <w:tc>
          <w:tcPr>
            <w:tcW w:w="7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w:t>
            </w:r>
          </w:p>
        </w:tc>
      </w:tr>
      <w:tr>
        <w:trPr>
          <w:trHeight w:val="27"/>
        </w:trPr>
        <w:tc>
          <w:tcPr>
            <w:tcW w:w="7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7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21,305,025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9,483,734</w:t>
            </w:r>
          </w:p>
        </w:tc>
      </w:tr>
      <w:tr>
        <w:trPr>
          <w:trHeight w:val="27"/>
        </w:trPr>
        <w:tc>
          <w:tcPr>
            <w:tcW w:w="7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20" w:type="dxa"/>
            <w:vAlign w:val="bottom"/>
          </w:tcPr>
          <w:p>
            <w:pPr>
              <w:spacing w:after="0"/>
              <w:rPr>
                <w:sz w:val="12"/>
                <w:szCs w:val="12"/>
                <w:color w:val="auto"/>
              </w:rPr>
            </w:pPr>
          </w:p>
        </w:tc>
        <w:tc>
          <w:tcPr>
            <w:tcW w:w="156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8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Treasury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5120" w:type="dxa"/>
            <w:vAlign w:val="bottom"/>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right="34"/>
              <w:spacing w:after="0" w:line="9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Paid-in Capital</w:t>
            </w:r>
          </w:p>
        </w:tc>
        <w:tc>
          <w:tcPr>
            <w:tcW w:w="8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Equity (Deficit)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17,189,300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349,654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(324,913)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10,514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24,743</w:t>
            </w: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0" w:type="dxa"/>
            <w:vAlign w:val="bottom"/>
          </w:tcPr>
          <w:p>
            <w:pPr>
              <w:spacing w:after="0"/>
              <w:rPr>
                <w:sz w:val="1"/>
                <w:szCs w:val="1"/>
                <w:color w:val="auto"/>
              </w:rPr>
            </w:pPr>
          </w:p>
        </w:tc>
      </w:tr>
      <w:tr>
        <w:trPr>
          <w:trHeight w:val="28"/>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Torii warrant expense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28"/>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(9,682)</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(9,682)</w:t>
            </w:r>
          </w:p>
        </w:tc>
        <w:tc>
          <w:tcPr>
            <w:tcW w:w="0" w:type="dxa"/>
            <w:vAlign w:val="bottom"/>
          </w:tcPr>
          <w:p>
            <w:pPr>
              <w:spacing w:after="0"/>
              <w:rPr>
                <w:sz w:val="1"/>
                <w:szCs w:val="1"/>
                <w:color w:val="auto"/>
              </w:rPr>
            </w:pPr>
          </w:p>
        </w:tc>
      </w:tr>
      <w:tr>
        <w:trPr>
          <w:trHeight w:val="182"/>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17,189,300</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350,648</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(334,595)</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10,514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16,055</w:t>
            </w:r>
          </w:p>
        </w:tc>
        <w:tc>
          <w:tcPr>
            <w:tcW w:w="0" w:type="dxa"/>
            <w:vAlign w:val="bottom"/>
          </w:tcPr>
          <w:p>
            <w:pPr>
              <w:spacing w:after="0"/>
              <w:rPr>
                <w:sz w:val="1"/>
                <w:szCs w:val="1"/>
                <w:color w:val="auto"/>
              </w:rPr>
            </w:pPr>
          </w:p>
        </w:tc>
      </w:tr>
      <w:tr>
        <w:trPr>
          <w:trHeight w:val="28"/>
        </w:trPr>
        <w:tc>
          <w:tcPr>
            <w:tcW w:w="5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9,188,513</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297,166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(307,027)</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10,514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(9,860)</w:t>
            </w:r>
          </w:p>
        </w:tc>
        <w:tc>
          <w:tcPr>
            <w:tcW w:w="0" w:type="dxa"/>
            <w:vAlign w:val="bottom"/>
          </w:tcPr>
          <w:p>
            <w:pPr>
              <w:spacing w:after="0"/>
              <w:rPr>
                <w:sz w:val="1"/>
                <w:szCs w:val="1"/>
                <w:color w:val="auto"/>
              </w:rPr>
            </w:pPr>
          </w:p>
        </w:tc>
      </w:tr>
      <w:tr>
        <w:trPr>
          <w:trHeight w:val="18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0" w:type="dxa"/>
            <w:vAlign w:val="bottom"/>
          </w:tcPr>
          <w:p>
            <w:pPr>
              <w:spacing w:after="0"/>
              <w:rPr>
                <w:sz w:val="1"/>
                <w:szCs w:val="1"/>
                <w:color w:val="auto"/>
              </w:rPr>
            </w:pPr>
          </w:p>
        </w:tc>
      </w:tr>
      <w:tr>
        <w:trPr>
          <w:trHeight w:val="28"/>
        </w:trPr>
        <w:tc>
          <w:tcPr>
            <w:tcW w:w="5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(9,742)</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(9,742)</w:t>
            </w:r>
          </w:p>
        </w:tc>
        <w:tc>
          <w:tcPr>
            <w:tcW w:w="0" w:type="dxa"/>
            <w:vAlign w:val="bottom"/>
          </w:tcPr>
          <w:p>
            <w:pPr>
              <w:spacing w:after="0"/>
              <w:rPr>
                <w:sz w:val="1"/>
                <w:szCs w:val="1"/>
                <w:color w:val="auto"/>
              </w:rPr>
            </w:pPr>
          </w:p>
        </w:tc>
      </w:tr>
      <w:tr>
        <w:trPr>
          <w:trHeight w:val="28"/>
        </w:trPr>
        <w:tc>
          <w:tcPr>
            <w:tcW w:w="5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9,189,513</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298,192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(316,769)</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(18,576)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-33655</wp:posOffset>
            </wp:positionV>
            <wp:extent cx="51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-33655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-33655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-33655</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-179070</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-179070</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-179070</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-1062355</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-1062355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-1062355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-1062355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17"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280" w:type="dxa"/>
            <w:vAlign w:val="bottom"/>
            <w:gridSpan w:val="5"/>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37"/>
        </w:trPr>
        <w:tc>
          <w:tcPr>
            <w:tcW w:w="7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7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0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Loss on termination of financing lease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finance lease right-of-use asset</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deferred R&amp;D services and R&amp;D funding liability</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R&amp;D expense related to Torii warrant vesting</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r>
      <w:tr>
        <w:trPr>
          <w:trHeight w:val="243"/>
        </w:trPr>
        <w:tc>
          <w:tcPr>
            <w:tcW w:w="7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Collaboration receivable, billed and unbilled</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7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43"/>
        </w:trPr>
        <w:tc>
          <w:tcPr>
            <w:tcW w:w="7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8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(12,677)</w:t>
            </w:r>
          </w:p>
        </w:tc>
      </w:tr>
      <w:tr>
        <w:trPr>
          <w:trHeight w:val="27"/>
        </w:trPr>
        <w:tc>
          <w:tcPr>
            <w:tcW w:w="79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Repayment of debt</w:t>
            </w:r>
          </w:p>
        </w:tc>
        <w:tc>
          <w:tcPr>
            <w:tcW w:w="9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Repayment of finance lease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3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r>
      <w:tr>
        <w:trPr>
          <w:trHeight w:val="27"/>
        </w:trPr>
        <w:tc>
          <w:tcPr>
            <w:tcW w:w="79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9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46,329</w:t>
            </w:r>
          </w:p>
        </w:tc>
      </w:tr>
      <w:tr>
        <w:trPr>
          <w:trHeight w:val="23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9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29,595</w:t>
            </w:r>
          </w:p>
        </w:tc>
      </w:tr>
      <w:tr>
        <w:trPr>
          <w:trHeight w:val="27"/>
        </w:trPr>
        <w:tc>
          <w:tcPr>
            <w:tcW w:w="7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0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7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tcBorders>
              <w:bottom w:val="single" w:sz="8" w:color="CFF0FC"/>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29,595</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and Restricted cash</w:t>
            </w:r>
          </w:p>
        </w:tc>
        <w:tc>
          <w:tcPr>
            <w:tcW w:w="980" w:type="dxa"/>
            <w:vAlign w:val="bottom"/>
            <w:tcBorders>
              <w:bottom w:val="single" w:sz="8" w:color="CFF0FC"/>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20,864</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29,595</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41910</wp:posOffset>
            </wp:positionV>
            <wp:extent cx="2082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Recognition of R&amp;D funding liability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deferred R&amp;D services</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Finance lease liability extinguished as a result of lease termination</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Verrica Pharmaceuticals Inc. (the "Company") was formed on July 3, 2013 and is incorporated in the State of Delaware. The Company is a therapeutics company developing and commercializing medications for the treatment of dermatologic diseases, including skin cancers. On July 21, 2023, the U.S. Food and Drug Administration ("FDA") approved YCANTH (VP-102) topical solution for the treatment of molluscum contagiosum in adult and pediatric patients two years of age and older. During the three months ended March 31, 2026, the Company formed a wholly owned subsidiary in Ireland to facilitate regulatory filings in the European Union. The subsidiary had no material operations during the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At the close of trading on July 24, 2025, the Company effected a reverse stock split at a ratio of 1-for-10 shares of its common stock. As a result, every ten shares of the Company’s issued and outstanding common stock were automatically combined into one share. The reverse stock split affected all stockholders uniformly and did not alter any stockholder’s percentage ownership interest in the Company.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fractional shares were issued as a result of the reverse stock split and the split did not impact the par value of the Company's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fractional shares that would otherwise have resulted from the reverse stock split were rounded down to the next whole share.</w:t>
      </w:r>
    </w:p>
    <w:p>
      <w:pPr>
        <w:spacing w:after="0" w:line="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adjusted to reflect the impact of the reverse stock split as though it had occurred in all periods presented.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incurred substantial operating losses since inception and expects to continue to incur significant losses for the foreseeable future and may never become profitable. As of March 31, 2026, the Company has an accumulated deficit of $334.6 million and had cash outflows from operations of $9.2 million for the three months ended March 31, 2026. Based on the Company’s current business plan and current capital resources, consisting of cash of $20.6 million as of March 31, 2026, combined with the uncertainty regarding the availability of additional funding, the Company has concluded that substantial doubt exists regarding its ability to continue as a going concern within one year after the date these financial statements are issued. The Company plans to address the conditions that raise substantial doubt regarding its ability to continue as a going concern by, among other things, obtaining additional funding through equity offerings, debt financing, collaborations, strategic alliances and/or licensing arrangements. The consolidated financial statements have been prepared on a going concern basis, which contemplates the realization of assets and satisfaction of liabilities in the normal course of business. The consolidated financial statements do not include any adjustments to the carrying amounts and classification of recorded assets, liabilities and reported expenses that might result should the Company be unable to continue as a going concern.</w:t>
      </w:r>
    </w:p>
    <w:p>
      <w:pPr>
        <w:spacing w:after="0" w:line="8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the Company will be able to obtain additional liquidity when needed or under acceptable terms, if at all. If the Company is unable to raise capital when needed or on attractive terms, the Company would be forced to delay, reduce or eliminate commercialization efforts and development programs.</w:t>
      </w:r>
    </w:p>
    <w:p>
      <w:pPr>
        <w:spacing w:after="0" w:line="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Company sold an aggregate of (i) 6,499,826 shares of its common stock, (ii) with respect to certain purchasers pre-funded warrants to purchase 5,305,164 shares of common stock in lieu of shares and (iii) in either case, the accompanying Series C warrants to purchase 2,951,241 shares of common stock. The purchase price per share of common stock and accompanying Series C warrant was $4.24125 per share and the purchase price for the Pre-funded Warrants and accompanying Series C warrant was $4.24115 per share. The Company received net proceeds of $49.1 million from the Private Placement, after deducting placement fees of $0.9 million.</w:t>
      </w:r>
    </w:p>
    <w:p>
      <w:pPr>
        <w:spacing w:after="0" w:line="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plans to secure additional capital in the future through equity or debt financings, partnerships, or other sources to carry out the Company’s planned commercial and development activities. The amount of proceeds the Company may be able to raise pursuant to its currently effective shelf registration statement on Form S-3 is limited. The Company is subject to the general instructions of Form S-3 known as the "baby shelf rules." Under these rules, the amount of funds the Company can raise through primary public offerings of securities in any 12-month period using its registration statement on Form S-3 is limited to one-third of the aggregate market value of the shares of the Company's common stock</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held by its non-affiliates. Therefore, the Company will be limited in the amount of proceeds it is able to raise by selling its securities using its Form S-3 until such time as the Company's public float exceeds $75.0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conformity with accounting principles generally accepted in the United States of America ("GAAP"). The consolidated financial statements include the accounts of the Company and its wholly owned subsidiary. All intercompany balances and transactions have been eliminated in consolidation.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U.S. GAAP for interim information and pursuant to the rules and regulations of the SEC. Accordingly, certain information and footnote disclosures normally included in audited financial statements prepared in accordance with U.S. GAAP have been condensed or omitted pursuant to such rules and regulations. These unaudited interim consolidated financial statements should be read in conjunction with the audited financial statements and related notes for the year ended December 31, 2025, filed as part of the Company's Annual Report.</w:t>
      </w:r>
    </w:p>
    <w:p>
      <w:pPr>
        <w:spacing w:after="0" w:line="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These unaudited interim consolidated financial statements have been prepared on the same basis as the audited financial statements and, in management’s opinion, include all adjustments, consisting of only normal recurring adjustments, necessary for the fair presentation of the financial information for the interim periods. However, the results of operations for any interim period are not necessarily indicative of the results to be expected for the full fiscal year. Certain items have been reclassified in the prior year disclosure to conform to the current year presentation.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These estimates and assumptions are based on current facts, historical experience as well as other pertinent industry and regulatory authority information, results of which form the basis for making judgments about the carrying values of assets and liabilities and the recording of revenues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and discrete financial information is available for evaluation by the chief operating decision-maker ("CODM") in making decisions regarding resource allocation and assessing performance.</w:t>
      </w:r>
    </w:p>
    <w:p>
      <w:pPr>
        <w:spacing w:after="0" w:line="5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engaged in developing and commercializing medications for the treatment of dermatologic diseases including skin cancers. The Company’s Chief Executive Officer ("CEO"), as the CODM, regularly reviews the entity-wide financial and operational performance as a single unit. No financial information is disaggregated into separate lines of businesses and the Company does not differentiate the activities of its headquarters from the overall performance of the Company. The CEO makes resource allocation and business process decisions regarding the overall level of resources available and how to best deploy these resources.</w:t>
      </w:r>
    </w:p>
    <w:p>
      <w:pPr>
        <w:spacing w:after="0" w:line="7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single segment’s principal measure of segment profit and loss is consolidated net loss. The CEO considers actual and forecasted consolidated revenues, significant expenses, and consolidated net loss when evaluating performance. Significant expenses are amounts regularly provided to the CEO and included in consolidated net loss and include selling, general and administrative expenses and research and development expenses.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revenue and expense categories regularly reviewed by the CEO for the three months ended March 31, 2026 and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28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6"/>
        </w:trPr>
        <w:tc>
          <w:tcPr>
            <w:tcW w:w="7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r>
      <w:tr>
        <w:trPr>
          <w:trHeight w:val="37"/>
        </w:trPr>
        <w:tc>
          <w:tcPr>
            <w:tcW w:w="7320" w:type="dxa"/>
            <w:vAlign w:val="bottom"/>
            <w:tcBorders>
              <w:bottom w:val="single" w:sz="8" w:color="CFF0FC"/>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r>
      <w:tr>
        <w:trPr>
          <w:trHeight w:val="24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1"/>
                <w:szCs w:val="21"/>
                <w:color w:val="auto"/>
              </w:rPr>
            </w:pPr>
          </w:p>
        </w:tc>
        <w:tc>
          <w:tcPr>
            <w:tcW w:w="128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7"/>
        </w:trPr>
        <w:tc>
          <w:tcPr>
            <w:tcW w:w="732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license and collaboration revenue</w:t>
            </w:r>
          </w:p>
        </w:tc>
        <w:tc>
          <w:tcPr>
            <w:tcW w:w="1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(including payroll)</w:t>
            </w:r>
          </w:p>
        </w:tc>
        <w:tc>
          <w:tcPr>
            <w:tcW w:w="1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(including payroll)</w:t>
            </w: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r>
      <w:tr>
        <w:trPr>
          <w:trHeight w:val="27"/>
        </w:trPr>
        <w:tc>
          <w:tcPr>
            <w:tcW w:w="732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YCANTH (VP-102)</w:t>
            </w: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VP-315</w:t>
            </w:r>
          </w:p>
        </w:tc>
        <w:tc>
          <w:tcPr>
            <w:tcW w:w="1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warts</w:t>
            </w: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3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1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7"/>
        </w:trPr>
        <w:tc>
          <w:tcPr>
            <w:tcW w:w="7320" w:type="dxa"/>
            <w:vAlign w:val="bottom"/>
            <w:tcBorders>
              <w:bottom w:val="single" w:sz="8" w:color="CFF0FC"/>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2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(a)</w:t>
            </w:r>
          </w:p>
        </w:tc>
        <w:tc>
          <w:tcPr>
            <w:tcW w:w="1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(9,682)</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w:t>
            </w:r>
          </w:p>
        </w:tc>
      </w:tr>
      <w:tr>
        <w:trPr>
          <w:trHeight w:val="27"/>
        </w:trPr>
        <w:tc>
          <w:tcPr>
            <w:tcW w:w="7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includes interest income, interest expense, change in fair value of embedded derivative liability and other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Cash includes deposits in accounts at large financial institutions, and amounts may exceed federally insured limits. The Company believes it is not exposed to significant credit risk due to the financial strength of the depository institutions in which the funds are held. The Company has no financial instruments with off-balance sheet risk of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Restricted cash as of March 31, 2026 comprises a cash deposit of $0.3 million with JPMorgan Chase Bank, N.A. as required under the Commercial Credit Card Program with a balance equal to the outstanding credit limit on commercial credit cards. This is included in other non-current assets on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and Credit Risk</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financial instruments included accounts payable, accounts receivable and accrued expenses. The carrying amount of each instrument approximated fair value, given their short-term nature.</w:t>
      </w:r>
    </w:p>
    <w:p>
      <w:pPr>
        <w:spacing w:after="0" w:line="5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credit risk from accounts receivable. As of March 31, 2026, one customer represented approximately 92% of the Company's accounts receivable. Based on the Company's periodic credit evaluations, there have been no historical concerns with this customer.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had $7.7 million in accounts receivable as of March 31, 2026. As of March 31, 2026, the Company had no allowance for credit losses. An allowance for credit losses is determined based on the Company's assessment of the creditworthiness and financial condition of its customers, aging of receivables, as well as the general economic</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environment. Any allowance would reduce the net receivables to the amount that is expected to be collected. Current payment terms for YCANTH (VP-102) are generally 60 days from the shipment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values inventory at the lower of cost or net realizable value. Inventory cost is determined using the specific identification method. The Company regularly reviews its inventory quantities and, when appropriate, records a provision for obsolete and excess inventory to derive the new cost basis, which takes into account the Company’s sales forecast and corresponding expiry dates. Costs related to obsolete inventory were immaterial for the three months ended March 31, 2026 and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 Derivatives</w:t>
      </w:r>
    </w:p>
    <w:p>
      <w:pPr>
        <w:spacing w:after="0" w:line="121" w:lineRule="exact"/>
        <w:rPr>
          <w:sz w:val="20"/>
          <w:szCs w:val="20"/>
          <w:color w:val="auto"/>
        </w:rPr>
      </w:pPr>
    </w:p>
    <w:p>
      <w:pPr>
        <w:jc w:val="both"/>
        <w:ind w:right="6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Company evaluates its financial instruments to determine if the financial instrument itself or any embedded components of a financial instrument potentially qualify as derivatives required to be separately accounted for in accordance with ASC Topic 815 -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a derivative liability related to a bifurcated settlement feature of the Company’s OrbiMed Credit Agreement (Note 9). The derivative liability was subject to re-measurement at each reporting period, at each balance sheet date and any change in fair value was recognized as a component of change in fair value of derivative liability in the consolidated statements of operations. The Company adjusted the liability for changes in fair value until the settlement of the Loan Facility (as defined below), which occurred in November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from sales of a single product, YCANTH (VP-102) (the "Product") in accordance with ASC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YCANTH (VP-102) became available for commercial sale and shipment to patients with a prescription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in the third quarter of 2023. The Company sells the Product to several pharmaceutical wholesalers and distributors (the "Customers"), who in turn sell the Product directly to pharmacies, clinics, hospitals, and federal healthcare programs. Revenue is recognized as the Product is physically delivered to the Customers.</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Gross product sales are reduced by corresponding gross-to-net ("GTN") estimates using the expected value method, resulting in the Company’s reported "Product revenue, net" in the accompanying consolidated statements of operations. Product revenue, net reflects the amount the Company ultimately expects to realize in net cash proceeds, taking into account the current period gross sales and related cash receipts and the subsequent cash disbursements on these sales that the Company estimates for the various GTN categories discussed below. The GTN estimates are based upon information received from external sources, such as written or oral information obtained from our customers with respect to their period-end inventory levels and sales to end-users during the period, in combination with management’s informed judgments. Due to the inherent uncertainty of these estimates, the actual amount of product returns, government chargebacks, prompt pay discounts, commercial rebates, Medicaid rebates, co-pay assistance and distribution, data, and group purchasing organizations ("GPO") administrative fees may be materially above or below the amount estimated. Variance between actual amounts and estimated amounts may result in prospective adjustments to reported net product revenue.</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GTN estimate categories are discussed below:</w:t>
      </w:r>
    </w:p>
    <w:p>
      <w:pPr>
        <w:spacing w:after="0" w:line="115" w:lineRule="exact"/>
        <w:rPr>
          <w:sz w:val="20"/>
          <w:szCs w:val="20"/>
          <w:color w:val="auto"/>
        </w:rPr>
      </w:pPr>
    </w:p>
    <w:p>
      <w:pPr>
        <w:jc w:val="both"/>
        <w:ind w:right="3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Returns Allowances: </w:t>
      </w:r>
      <w:r>
        <w:rPr>
          <w:rFonts w:ascii="Times New Roman" w:cs="Times New Roman" w:eastAsia="Times New Roman" w:hAnsi="Times New Roman"/>
          <w:sz w:val="18"/>
          <w:szCs w:val="18"/>
          <w:color w:val="auto"/>
        </w:rPr>
        <w:t>The Customers are contractually permitted to return purchased Product in certain circumstances.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reserves for product returns using historical return rates, considering factors such as product held by customers, forecasted sales, and product expiration. Returned Product is typically destroyed, since substantially all returns are due to expiry and cannot be resold.</w:t>
      </w:r>
    </w:p>
    <w:p>
      <w:pPr>
        <w:spacing w:after="0" w:line="6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Government Chargebacks: </w:t>
      </w:r>
      <w:r>
        <w:rPr>
          <w:rFonts w:ascii="Times New Roman" w:cs="Times New Roman" w:eastAsia="Times New Roman" w:hAnsi="Times New Roman"/>
          <w:sz w:val="18"/>
          <w:szCs w:val="18"/>
          <w:color w:val="auto"/>
        </w:rPr>
        <w:t>The Product is subject to pricing limits under certain federal government programs, including Medicare and the 340B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 pricing program. Qualifying entities (the "End-Users") purchase the Product from the Customers at their applicable qualifying discounted price. The chargeback amount the Company incurs represents the difference between the Company’s contractual sales price to the Customers and the end-user’s applicable discounted purchase price under the government program.</w:t>
      </w:r>
    </w:p>
    <w:p>
      <w:pPr>
        <w:spacing w:after="0" w:line="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Medicaid Rebates: </w:t>
      </w:r>
      <w:r>
        <w:rPr>
          <w:rFonts w:ascii="Times New Roman" w:cs="Times New Roman" w:eastAsia="Times New Roman" w:hAnsi="Times New Roman"/>
          <w:sz w:val="18"/>
          <w:szCs w:val="18"/>
          <w:color w:val="auto"/>
        </w:rPr>
        <w:t>The Product is subject to state government-managed Medicaid programs, whereby rebates are issued to participating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governments, which may include supplemental rebates. These rebates arise when a patient treated with the Product is covered under Medicaid, resulting in a discounted price for the Product under the applicable Medicaid program. The Medicaid rebate accrual calculations require the Company to project the magnitude of its sales, by state, that will be subject to these rebates.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Managed Care Rebates: </w:t>
      </w:r>
      <w:r>
        <w:rPr>
          <w:rFonts w:ascii="Times New Roman" w:cs="Times New Roman" w:eastAsia="Times New Roman" w:hAnsi="Times New Roman"/>
          <w:sz w:val="18"/>
          <w:szCs w:val="18"/>
          <w:color w:val="auto"/>
        </w:rPr>
        <w:t>Managed care rebates represent our estimated obligations to third parties, primarily pharmacy benefit managers.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these contracts, the Company offers rebates to these third parties. The rebates are calculated based on the applicable contracts, estimated during the period that the revenue is recognized and paid by the Company in subsequent periods.</w:t>
      </w:r>
    </w:p>
    <w:p>
      <w:pPr>
        <w:spacing w:after="0" w:line="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Patient Assistance: </w:t>
      </w:r>
      <w:r>
        <w:rPr>
          <w:rFonts w:ascii="Times New Roman" w:cs="Times New Roman" w:eastAsia="Times New Roman" w:hAnsi="Times New Roman"/>
          <w:sz w:val="18"/>
          <w:szCs w:val="18"/>
          <w:color w:val="auto"/>
        </w:rPr>
        <w:t>The Company offers a voluntary co-pay patient assistance program intended to provide financial assistance to eligible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prescription drug co-payment required by commercial payors. The calculation of the current liability for this assistance is based on an estimate of claims and the cost per claim that the Company expects to receive associated with YCANTH (VP-102) that has been recognized as revenue but remains in the distribution channel inventories at the end of each reporting period.</w:t>
      </w:r>
    </w:p>
    <w:p>
      <w:pPr>
        <w:spacing w:after="0" w:line="72"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Data, and GPO Administrative Fees: </w:t>
      </w:r>
      <w:r>
        <w:rPr>
          <w:rFonts w:ascii="Times New Roman" w:cs="Times New Roman" w:eastAsia="Times New Roman" w:hAnsi="Times New Roman"/>
          <w:sz w:val="18"/>
          <w:szCs w:val="18"/>
          <w:color w:val="auto"/>
        </w:rPr>
        <w:t>Distribution, data, and GPO administrative fees are paid to authorized wholesalers/distributors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products for various commercial services including contract administration, inventory management, delivery of end-user sales data, and product returns processing. These fees are based on a contractually-determined percentage of the Company’s applicable sales.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Revenues</w:t>
      </w:r>
    </w:p>
    <w:p>
      <w:pPr>
        <w:spacing w:after="0" w:line="121" w:lineRule="exact"/>
        <w:rPr>
          <w:sz w:val="20"/>
          <w:szCs w:val="20"/>
          <w:color w:val="auto"/>
        </w:rPr>
      </w:pPr>
    </w:p>
    <w:p>
      <w:pPr>
        <w:jc w:val="both"/>
        <w:ind w:right="140" w:firstLine="648"/>
        <w:spacing w:after="0" w:line="289" w:lineRule="auto"/>
        <w:rPr>
          <w:sz w:val="20"/>
          <w:szCs w:val="20"/>
          <w:color w:val="auto"/>
        </w:rPr>
      </w:pPr>
      <w:r>
        <w:rPr>
          <w:rFonts w:ascii="Times New Roman" w:cs="Times New Roman" w:eastAsia="Times New Roman" w:hAnsi="Times New Roman"/>
          <w:sz w:val="17"/>
          <w:szCs w:val="17"/>
          <w:color w:val="auto"/>
        </w:rPr>
        <w:t>The Company has generated collaboration revenue through its licensing and collaboration arrangements. The terms of the arrangements typically include payments to the Company of one or more of the following: nonrefundable, up-front license fees; regulatory and commercial milestone payments; payments for manufacturing supply of product and services; materials shipped to support development; and royalties on net sales of licensed products.</w:t>
      </w:r>
    </w:p>
    <w:p>
      <w:pPr>
        <w:spacing w:after="0" w:line="50"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w:t>
      </w:r>
    </w:p>
    <w:p>
      <w:pPr>
        <w:spacing w:after="0" w:line="54" w:lineRule="exact"/>
        <w:rPr>
          <w:sz w:val="20"/>
          <w:szCs w:val="20"/>
          <w:color w:val="auto"/>
        </w:rPr>
      </w:pPr>
    </w:p>
    <w:p>
      <w:pPr>
        <w:ind w:left="1460" w:hanging="31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promised goods or services in the contract;</w:t>
      </w:r>
    </w:p>
    <w:p>
      <w:pPr>
        <w:spacing w:after="0" w:line="117" w:lineRule="exact"/>
        <w:rPr>
          <w:rFonts w:ascii="Times New Roman" w:cs="Times New Roman" w:eastAsia="Times New Roman" w:hAnsi="Times New Roman"/>
          <w:sz w:val="18"/>
          <w:szCs w:val="18"/>
          <w:color w:val="auto"/>
        </w:rPr>
      </w:pPr>
    </w:p>
    <w:p>
      <w:pPr>
        <w:ind w:left="1460" w:right="60" w:hanging="318"/>
        <w:spacing w:after="0" w:line="282" w:lineRule="auto"/>
        <w:tabs>
          <w:tab w:leader="none" w:pos="14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promised goods or services are performance obligations including whether they are distinct in the context of the contract;</w:t>
      </w:r>
    </w:p>
    <w:p>
      <w:pPr>
        <w:spacing w:after="0" w:line="53"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the transaction price, including the constraint on variable consideration;</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and</w:t>
      </w:r>
    </w:p>
    <w:p>
      <w:pPr>
        <w:spacing w:after="0" w:line="117" w:lineRule="exact"/>
        <w:rPr>
          <w:rFonts w:ascii="Times New Roman" w:cs="Times New Roman" w:eastAsia="Times New Roman" w:hAnsi="Times New Roman"/>
          <w:sz w:val="18"/>
          <w:szCs w:val="18"/>
          <w:color w:val="auto"/>
        </w:rPr>
      </w:pPr>
    </w:p>
    <w:p>
      <w:pPr>
        <w:ind w:left="1460" w:right="260" w:hanging="318"/>
        <w:spacing w:after="0" w:line="282" w:lineRule="auto"/>
        <w:tabs>
          <w:tab w:leader="none" w:pos="14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each performance obligation. The Company’s revenue arrangements may include the following:</w:t>
      </w:r>
    </w:p>
    <w:p>
      <w:pPr>
        <w:spacing w:after="0" w:line="5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Up-front License Fees: </w:t>
      </w:r>
      <w:r>
        <w:rPr>
          <w:rFonts w:ascii="Times New Roman" w:cs="Times New Roman" w:eastAsia="Times New Roman" w:hAnsi="Times New Roman"/>
          <w:sz w:val="18"/>
          <w:szCs w:val="18"/>
          <w:color w:val="auto"/>
        </w:rPr>
        <w:t>If a license is determined to be distinct from the other performance obligations identified in the arrangement,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revenues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4"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an agreement that includes regulatory or commercial milestone payments,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each milestone is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At each reporting period, the Company assesses the probability of achievement of each milestone under its current agreements. The Company did not recognize any milestone revenue during the three months ended March 31, 2026 and 2025.</w:t>
      </w:r>
    </w:p>
    <w:p>
      <w:pPr>
        <w:spacing w:after="0" w:line="7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If the Company is entitled to receive sales-based royalties from its collaborator, including milestone payments based on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the license is deemed to be the predominant item to which the royalties relate, the Company recognizes revenue at the later of (i) when the related sales occur, provided the reported sales are reliably measurable, or (ii) when the performance obligation to which some or all of the royalty has been allocated has been satisfied (or partially satisfied).</w:t>
      </w:r>
    </w:p>
    <w:p>
      <w:pPr>
        <w:spacing w:after="0" w:line="72"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Manufacturing Supply and Research Services: </w:t>
      </w:r>
      <w:r>
        <w:rPr>
          <w:rFonts w:ascii="Times New Roman" w:cs="Times New Roman" w:eastAsia="Times New Roman" w:hAnsi="Times New Roman"/>
          <w:sz w:val="18"/>
          <w:szCs w:val="18"/>
          <w:color w:val="auto"/>
        </w:rPr>
        <w:t>Arrangements that include a promise for supply of drug substance or drug product for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development or commercial supply at the licensee’s discretion are generally considered as options. The Company assesses if these options provide a material right to the licensee and if so, they are accounted for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separate performance obligations. If not, the supply services are recognized as collaboration revenue as the Company provides the services.</w:t>
      </w:r>
    </w:p>
    <w:p>
      <w:pPr>
        <w:spacing w:after="0" w:line="11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receives payments from its licensees based on schedules established in each contract. Amounts are recorded as accounts receivable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70"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The Company records deferred revenue when a customer prepays for goods or services, or when the Company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unconditional right to bill but has not yet delivered the performance obligation. Deferred revenue is primarily comprised of deposits on customer product orders yet to be delivered. The Company expects to recognize all of the deferred revenue within the next 6 months.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the cost of inventory sold, which includes direct manufacturing, production and packaging materials for YCANTH (VP-102)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License and Collaboration Revenue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license and collaboration revenue consisted of commercial supplies and development activity with Torii.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guidance classifies fair value measurements in one of the following three categories for disclosure purposes: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1140"/>
        <w:spacing w:after="0"/>
        <w:tabs>
          <w:tab w:leader="none" w:pos="9820" w:val="left"/>
        </w:tabs>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w:t>
      </w:r>
      <w:r>
        <w:rPr>
          <w:sz w:val="20"/>
          <w:szCs w:val="20"/>
          <w:color w:val="auto"/>
        </w:rPr>
        <w:tab/>
      </w:r>
      <w:r>
        <w:rPr>
          <w:rFonts w:ascii="Times New Roman" w:cs="Times New Roman" w:eastAsia="Times New Roman" w:hAnsi="Times New Roman"/>
          <w:sz w:val="17"/>
          <w:szCs w:val="17"/>
          <w:color w:val="auto"/>
        </w:rPr>
        <w:t>marketplace.</w:t>
      </w:r>
    </w:p>
    <w:p>
      <w:pPr>
        <w:spacing w:after="0" w:line="117" w:lineRule="exact"/>
        <w:rPr>
          <w:sz w:val="20"/>
          <w:szCs w:val="20"/>
          <w:color w:val="auto"/>
        </w:rPr>
      </w:pPr>
    </w:p>
    <w:p>
      <w:pPr>
        <w:ind w:right="240" w:firstLine="1134"/>
        <w:spacing w:after="0" w:line="266"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6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2026, the Company’s financial instruments included cash, accounts receivable, accounts payable and accrued expenses. The carrying amount of accounts payable, accounts receivable and accrued expenses approximate fair value due to the short-term maturities of these instruments. No assets or liabilities are measured at fair value on a recurring basis as of March 31, 2026 and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Net loss per share is computed using the two-class method required for participating securities. Basic net loss per share is computed by dividing net loss by the weighted-average number of shares of common stock outstanding during the period including pre-funded warrants to purchase shares of common stock that were issued in underwritten offerings in February 2023 and November 2024 and the Private Placement in November 2025 (see Note 6). The pre-funded warrants to purchase common stock are included in the calculation of basic and diluted net loss per share as the exercise price of $0.0001 per share is non-substantive and is virtually assured. Diluted net loss per share excludes the potential impact of common stock options, unvested shares of restricted stock and warrants because their effect would be anti-dilutive due to the Company's net loss. Since the Company had a net loss in each of the periods presented, basic and diluted net loss per common share are the same.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potential shares outstanding that were not included in the computation of diluted net loss per common share, as the inclusion of these securities would have been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14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Pr>
          <w:p>
            <w:pPr>
              <w:spacing w:after="0"/>
              <w:rPr>
                <w:sz w:val="16"/>
                <w:szCs w:val="16"/>
                <w:color w:val="auto"/>
              </w:rPr>
            </w:pPr>
          </w:p>
        </w:tc>
      </w:tr>
      <w:tr>
        <w:trPr>
          <w:trHeight w:val="37"/>
        </w:trPr>
        <w:tc>
          <w:tcPr>
            <w:tcW w:w="79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79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00" w:type="dxa"/>
            <w:vAlign w:val="bottom"/>
            <w:tcBorders>
              <w:bottom w:val="single" w:sz="8" w:color="CFF0FC"/>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issuable upon exercise of stock options</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1,318,468</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1,181,254</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Non-vested shares under restricted stock grants</w:t>
            </w:r>
          </w:p>
        </w:tc>
        <w:tc>
          <w:tcPr>
            <w:tcW w:w="21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33,427</w:t>
            </w:r>
          </w:p>
        </w:tc>
      </w:tr>
      <w:tr>
        <w:trPr>
          <w:trHeight w:val="27"/>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pursuant to debt financing</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51,855</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51,855</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pursuant to Torii amendment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7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issuable upon exercise of Series A and B warrants pursuant to 2024 equity financing</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2,387,703</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4,775,420</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Series C warrants pursuant to the Private Placement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6,759,267</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6,091,956</w:t>
            </w: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-33655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-1250950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standard improves the transparency and decision usefulness of income tax disclosures. This update was effective beginning with the Form 10-K for the year ended December 31, 2025.</w:t>
      </w:r>
    </w:p>
    <w:p>
      <w:pPr>
        <w:spacing w:after="0" w:line="6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financial statements and disclosures.</w:t>
      </w:r>
    </w:p>
    <w:p>
      <w:pPr>
        <w:spacing w:after="0" w:line="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the FASB issued ASU 2025-01, </w:t>
      </w:r>
      <w:r>
        <w:rPr>
          <w:rFonts w:ascii="Times New Roman" w:cs="Times New Roman" w:eastAsia="Times New Roman" w:hAnsi="Times New Roman"/>
          <w:sz w:val="18"/>
          <w:szCs w:val="18"/>
          <w:i w:val="1"/>
          <w:iCs w:val="1"/>
          <w:color w:val="auto"/>
        </w:rPr>
        <w:t>Expense Disaggregation Disclosures (Subtopic 220-40): Clarifying the Effective Date</w:t>
      </w:r>
      <w:r>
        <w:rPr>
          <w:rFonts w:ascii="Times New Roman" w:cs="Times New Roman" w:eastAsia="Times New Roman" w:hAnsi="Times New Roman"/>
          <w:sz w:val="18"/>
          <w:szCs w:val="18"/>
          <w:color w:val="auto"/>
        </w:rPr>
        <w:t>. This update clarifies that all public business entities must adopt the guidance in ASU 2024-03 for annual reporting periods beginning after December 15, 2026, and for interim periods within annual reporting periods beginning after December 15, 2027, with early adoption permitted. This guidance is not expected to have a material impact on the Company's financial statements.</w:t>
      </w:r>
    </w:p>
    <w:p>
      <w:pPr>
        <w:spacing w:after="0" w:line="72" w:lineRule="exact"/>
        <w:rPr>
          <w:sz w:val="20"/>
          <w:szCs w:val="20"/>
          <w:color w:val="auto"/>
        </w:rPr>
      </w:pPr>
    </w:p>
    <w:p>
      <w:pPr>
        <w:jc w:val="both"/>
        <w:ind w:right="140" w:firstLine="648"/>
        <w:spacing w:after="0" w:line="290"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Interim Reporting (Topic 270): </w:t>
      </w:r>
      <w:r>
        <w:rPr>
          <w:rFonts w:ascii="Times New Roman" w:cs="Times New Roman" w:eastAsia="Times New Roman" w:hAnsi="Times New Roman"/>
          <w:sz w:val="17"/>
          <w:szCs w:val="17"/>
          <w:i w:val="1"/>
          <w:iCs w:val="1"/>
          <w:color w:val="auto"/>
        </w:rPr>
        <w:t>Narrow Scope-Improvements</w:t>
      </w:r>
      <w:r>
        <w:rPr>
          <w:rFonts w:ascii="Times New Roman" w:cs="Times New Roman" w:eastAsia="Times New Roman" w:hAnsi="Times New Roman"/>
          <w:sz w:val="17"/>
          <w:szCs w:val="17"/>
          <w:color w:val="auto"/>
        </w:rPr>
        <w:t>. This update clarifies a shift in focus for interim reporting towards current-period facts and circumstances, over prior-period precedent. This update is effective for interim periods within annual periods that begin after December 15, 2027. This guidance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57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360" w:type="dxa"/>
            <w:vAlign w:val="bottom"/>
            <w:tcBorders>
              <w:bottom w:val="single" w:sz="8" w:color="CFF0FC"/>
            </w:tcBorders>
          </w:tcPr>
          <w:p>
            <w:pPr>
              <w:spacing w:after="0"/>
              <w:rPr>
                <w:sz w:val="3"/>
                <w:szCs w:val="3"/>
                <w:color w:val="auto"/>
              </w:rPr>
            </w:pPr>
          </w:p>
        </w:tc>
        <w:tc>
          <w:tcPr>
            <w:tcW w:w="460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720" w:type="dxa"/>
            <w:vAlign w:val="bottom"/>
            <w:tcBorders>
              <w:bottom w:val="single" w:sz="8" w:color="CFF0FC"/>
            </w:tcBorders>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60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4600" w:type="dxa"/>
            <w:vAlign w:val="bottom"/>
          </w:tcPr>
          <w:p>
            <w:pPr>
              <w:spacing w:after="0"/>
              <w:rPr>
                <w:sz w:val="20"/>
                <w:szCs w:val="20"/>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1,974</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4600" w:type="dxa"/>
            <w:vAlign w:val="bottom"/>
            <w:vMerge w:val="restart"/>
          </w:tcPr>
          <w:p>
            <w:pPr>
              <w:jc w:val="right"/>
              <w:ind w:right="2156"/>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0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336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3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-1396365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4—Accrued Expenses and Other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to net reserves</w:t>
            </w: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60" w:type="dxa"/>
            <w:vAlign w:val="bottom"/>
            <w:vMerge w:val="continue"/>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costs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and drug development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Commercial-related costs</w:t>
            </w: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-213995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June 6, 2022, plaintiff Kranthi Gorlamari ("Plaintiff") filed a putative class action complaint captioned Gorlamari v. Verrica Pharmaceuticals Inc., et al., in the U.S. District Court for the Eastern District of Pennsylvania against us and certain of our current and former officers and directors ("Defendants"). On January 12, 2023, the Plaintiff filed an amended complaint alleging that Defendants violated federal securities laws by, among other things, failing to disclose certain manufacturing deficiencies at the facility where our contract manufacturer produced bulk solution for the YCANTH (VP-</w:t>
      </w:r>
    </w:p>
    <w:p>
      <w:pPr>
        <w:spacing w:after="0" w:line="3" w:lineRule="exact"/>
        <w:rPr>
          <w:sz w:val="20"/>
          <w:szCs w:val="20"/>
          <w:color w:val="auto"/>
        </w:rPr>
      </w:pPr>
    </w:p>
    <w:p>
      <w:pPr>
        <w:ind w:right="100" w:firstLine="8"/>
        <w:spacing w:after="0" w:line="255"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device and that such deficiencies posed a risk to the prospects for regulatory approval of YCANTH (VP-102) for the treatment of molluscum. The amended complaint seeks unspecified compensatory damages and other relief on behalf of Plaintiff and all other persons and entities which purchased or otherwise acquired our securities between May 19, 2021 and May 24, 2022.</w:t>
      </w:r>
    </w:p>
    <w:p>
      <w:pPr>
        <w:spacing w:after="0" w:line="78"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On January 12, 2024, the Court granted in part and denied in part Defendants’ motion to dismiss the amended complaint. The Court held that Plaintiff’s claims relating to statements made in May and June 2021 were sufficiently pled, but dismissed Plaintiff’s claims relating to all other statements made during the Putative Class Period. On January 26, 2024, Plaintiff filed a second amended complaint in an attempt to cure certain of the deficiencies identified in the January 12, 2024 ruling. On September 3, 2024, the Court granted in part and denied in part Defendants’ motion to dismiss the second amended complaint. The Court dismissed Plaintiff’s claims related to one of the two individual defendants but held that Plaintiff’s claims against the Company and the other individual defendant were sufficiently pled. On March 4, 2026, the Court granted Plaintiff's motion for class certification.</w:t>
      </w:r>
    </w:p>
    <w:p>
      <w:pPr>
        <w:spacing w:after="0" w:line="6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addition, on October 21, 2024, May 12, 2025, and June 26, 2025, plaintiffs Ivan S. Cohen, Paul Cannon, and Joseph Bonaccorso, respectively, each filed a putative stockholder derivative lawsuit in the U.S. District Court for the Eastern District of Pennsylvania. Each derivative complaint names the company as a nominal defendant and purports to bring claims on behalf of the company against certain of our current and former directors and officers for alleged violations of the federal securities laws and breaches of their fiduciary duties in relation to substantially the same factual allegations as the above-described putative class action lawsuit. Each derivative complaint primarily seeks to recover for the company compensatory damages for losses allegedly sustained related to the facts alleged, restitution, and punitive damages. On December 16, 2024, the Court granted the parties' joint stipulation to stay the Cohen derivative lawsuit. On July 21, 2025, the Court granted the parties' joint stipulation in the Cohen and Cannon derivative lawsuits to consolidate the two actions and stay the consolidated action. On July 24, 2025, the plaintiff in the Bonaccorso derivative lawsuit filed a corrected complaint to clarify that the named plaintiff "is not Joseph (Joe) Bonaccorso, the former Chief Commercial Officer" of the Company. On July 29, 2025, the plaintiff in the Bonaccorso derivative lawsuit filed a notice voluntarily dismissing the action without prejudice.</w:t>
      </w:r>
    </w:p>
    <w:p>
      <w:pPr>
        <w:spacing w:after="0" w:line="86"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involved in ordinary, routine legal proceedings that are not considered by management to be material. In the opinion of Company counsel and management, the ultimate liabilities resulting from such legal proceedings will not materially affect the financial position of the Company or its results of operations or cash flows.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had authorized 200,000,000 shares of common stock, $0.0001 par value per share, as of March 31, 2026 and December 31, 2025. Each share of common stock is entitled to one vote. Common stock owners are entitled to dividends when funds are legally available and declared by the Board.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Offering</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2025, the Company sold an aggregate of (i) 6,499,826 shares of its common stock, (ii) with respect to certain purchasers pre-funded warrants to purchase 5,305,164 shares of common stock in lieu of shares and (iii) in either case, the accompanying Series C warrants to purchase 2,951,241 shares of common stock. The purchase price per share of common stock and accompanying Series C warrant was $4.24125 per share and the purchase price for the Pre-funded Warrants and accompanying Series C warrant was $4.24115 per share. The Company received net proceeds of $49.1 million from the Private Placement, after deducting placement fees of $0.9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 Exercises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prefunded warrants exercised in the three months ended March 31, 2026 and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warrants, all of which are exercisable for shares of common stock: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22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37"/>
        </w:trPr>
        <w:tc>
          <w:tcPr>
            <w:tcW w:w="6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Warrants issued in connection with OrbiMed debt facility</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23.5541</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7/26/2033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issued in connection with Torii amendment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95.6000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5/14/2034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Series B warrants issued pursuant to 2024 underwritten public offering</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2,387,703</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8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11/20/2029</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C warrants issued pursuant to the Private Placement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2,951,241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11/25/2030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Pre-funded warrants issued pursuant to the Private Placement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4,126,239</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 expiration</w:t>
            </w:r>
          </w:p>
        </w:tc>
        <w:tc>
          <w:tcPr>
            <w:tcW w:w="0" w:type="dxa"/>
            <w:vAlign w:val="bottom"/>
          </w:tcPr>
          <w:p>
            <w:pPr>
              <w:spacing w:after="0"/>
              <w:rPr>
                <w:sz w:val="1"/>
                <w:szCs w:val="1"/>
                <w:color w:val="auto"/>
              </w:rPr>
            </w:pPr>
          </w:p>
        </w:tc>
      </w:tr>
      <w:tr>
        <w:trPr>
          <w:trHeight w:val="27"/>
        </w:trPr>
        <w:tc>
          <w:tcPr>
            <w:tcW w:w="6280" w:type="dxa"/>
            <w:vAlign w:val="bottom"/>
            <w:shd w:val="clear" w:color="auto" w:fill="CFF0FC"/>
          </w:tcPr>
          <w:p>
            <w:pPr>
              <w:spacing w:after="0"/>
              <w:rPr>
                <w:sz w:val="2"/>
                <w:szCs w:val="2"/>
                <w:color w:val="auto"/>
              </w:rPr>
            </w:pPr>
          </w:p>
        </w:tc>
        <w:tc>
          <w:tcPr>
            <w:tcW w:w="15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OrbiMed warrants are eligible for a price adjustment if the Company consummates any share distribution at a price per common shares less than the exercise price. As a result of the November 2024 Offering, the OrbiMed warrant exercise price was adjusted down to $34.50 per share. As a result of the Private Placement, the OrbiMed warrant exercise price was adjusted down to $23.55 per share. The Torii warrants become exercisable at different clinical milestones related to the global Phase 3 Program for common warts (the "Program"). The related expense is recognized as research and development expense as costs are incurred for the Program under the R&amp;D funding arrangement (See Note 10).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7—Stock-Based Compensation</w:t>
      </w:r>
    </w:p>
    <w:p>
      <w:pPr>
        <w:spacing w:after="0" w:line="12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which includes expense for both options and restricted stock units, has been reported in the Company’s consolidated statements of operations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1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50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40" w:type="dxa"/>
            <w:vAlign w:val="bottom"/>
            <w:tcBorders>
              <w:bottom w:val="single" w:sz="8" w:color="CFF0FC"/>
            </w:tcBorders>
          </w:tcPr>
          <w:p>
            <w:pPr>
              <w:spacing w:after="0"/>
              <w:rPr>
                <w:sz w:val="3"/>
                <w:szCs w:val="3"/>
                <w:color w:val="auto"/>
              </w:rPr>
            </w:pPr>
          </w:p>
        </w:tc>
        <w:tc>
          <w:tcPr>
            <w:tcW w:w="404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6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40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collaboration revenue</w:t>
            </w:r>
          </w:p>
        </w:tc>
        <w:tc>
          <w:tcPr>
            <w:tcW w:w="4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FF0FC"/>
            </w:tcBorders>
          </w:tcPr>
          <w:p>
            <w:pPr>
              <w:spacing w:after="0"/>
              <w:rPr>
                <w:sz w:val="2"/>
                <w:szCs w:val="2"/>
                <w:color w:val="auto"/>
              </w:rPr>
            </w:pPr>
          </w:p>
        </w:tc>
        <w:tc>
          <w:tcPr>
            <w:tcW w:w="40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506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bottom w:val="single" w:sz="8" w:color="CFF0FC"/>
            </w:tcBorders>
            <w:vMerge w:val="restart"/>
          </w:tcPr>
          <w:p>
            <w:pPr>
              <w:jc w:val="right"/>
              <w:ind w:right="2275"/>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-1679575</wp:posOffset>
            </wp:positionV>
            <wp:extent cx="59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5"/>
                <w:szCs w:val="15"/>
                <w:color w:val="auto"/>
              </w:rPr>
            </w:pPr>
          </w:p>
        </w:tc>
        <w:tc>
          <w:tcPr>
            <w:tcW w:w="14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2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0" w:type="dxa"/>
            <w:vAlign w:val="bottom"/>
          </w:tcPr>
          <w:p>
            <w:pPr>
              <w:spacing w:after="0"/>
              <w:rPr>
                <w:sz w:val="17"/>
                <w:szCs w:val="17"/>
                <w:color w:val="auto"/>
              </w:rPr>
            </w:pPr>
          </w:p>
        </w:tc>
        <w:tc>
          <w:tcPr>
            <w:tcW w:w="14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1,353,918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1,181,200</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1,318,468</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March 31, 2026</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-239395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-239395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-419735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-419735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-1113790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-1113790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fair market value of the Company’s common stock price and, as of March 31, 2026, the exercise price of the stock options. The weighted average grant date fair value per share for the employee and non-employee stock options granted during the three months ended March 31, 2026 was $5.98. As of March 31, 2026, the total unrecognized compensation related to unvested stock option awards granted was $5.5 million, which the Company expects to recognize over a weighted-average period of 1.91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related to RSUs is recognized in the Company’s consolidated statements of operations based on the fair market value at the date of grant over the period expected to vest. No RSUs were granted, vested, or modified during the period, and as of March 31, 2026, there was no remaining unrecognized compensation expense related to RSUs.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Award Arrangements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Board approved certain equity award arrangements for members of the executive leadership team. The awards are subject to multiple substantive contingencies, including (i) approval by the Company's stockholders of an amendment to the 2018 Plan, (ii) achievement of specified stock price-based vesting conditions, and (iii) continued service. As of March 31, 2026, the required stockholder approval had not been obtained. Because this approval represents a substantive contingency and is not perfunctory, none of the arrangements meet the definition of a grant. Accordingly, no stock-based compensation expense has been recognized and no equity instruments related to these arrangements have been reflected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8—Leases</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office space located in West Chester, Pennsylvania that serves as the Company’s headquarters. The initial term expires on September 1, 2027. Base rent over the initial term is approximately $2.4 million, and the Company is also responsible for its share of the landlord’s operating expenses.</w:t>
      </w:r>
    </w:p>
    <w:p>
      <w:pPr>
        <w:spacing w:after="0" w:line="6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 fleet program to provide vehicles for its sales force. The vehicles are leased for a typical term of 52 months and classified as finance leases. The Company recorded $42,000 of additional right-of-use assets and $42,000 of additional right-of-use liabilities during the three months ended March 31, 2026.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are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80" w:type="dxa"/>
            <w:vAlign w:val="bottom"/>
          </w:tcPr>
          <w:p>
            <w:pPr>
              <w:spacing w:after="0"/>
              <w:rPr>
                <w:sz w:val="16"/>
                <w:szCs w:val="16"/>
                <w:color w:val="auto"/>
              </w:rPr>
            </w:pPr>
          </w:p>
        </w:tc>
      </w:tr>
      <w:tr>
        <w:trPr>
          <w:trHeight w:val="37"/>
        </w:trPr>
        <w:tc>
          <w:tcPr>
            <w:tcW w:w="79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7920" w:type="dxa"/>
            <w:vAlign w:val="bottom"/>
          </w:tcPr>
          <w:p>
            <w:pPr>
              <w:spacing w:after="0"/>
              <w:rPr>
                <w:sz w:val="16"/>
                <w:szCs w:val="16"/>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r>
      <w:tr>
        <w:trPr>
          <w:trHeight w:val="37"/>
        </w:trPr>
        <w:tc>
          <w:tcPr>
            <w:tcW w:w="792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30"/>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r>
      <w:tr>
        <w:trPr>
          <w:trHeight w:val="243"/>
        </w:trPr>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right-of-use assets</w:t>
            </w:r>
          </w:p>
        </w:tc>
        <w:tc>
          <w:tcPr>
            <w:tcW w:w="11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7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7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79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17"/>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r>
      <w:tr>
        <w:trPr>
          <w:trHeight w:val="243"/>
        </w:trPr>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costs</w:t>
            </w:r>
          </w:p>
        </w:tc>
        <w:tc>
          <w:tcPr>
            <w:tcW w:w="11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-316230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the Company’s operating leases, excluding short-term leases, as of March 31, 2026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37"/>
        </w:trPr>
        <w:tc>
          <w:tcPr>
            <w:tcW w:w="7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(remaining 9 months)</w:t>
            </w:r>
          </w:p>
        </w:tc>
        <w:tc>
          <w:tcPr>
            <w:tcW w:w="1180" w:type="dxa"/>
            <w:vAlign w:val="bottom"/>
            <w:tcBorders>
              <w:bottom w:val="single" w:sz="8" w:color="CFF0FC"/>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7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8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7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8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7"/>
        </w:trPr>
        <w:tc>
          <w:tcPr>
            <w:tcW w:w="7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18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180" w:type="dxa"/>
            <w:vAlign w:val="bottom"/>
            <w:tcBorders>
              <w:top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7"/>
        </w:trPr>
        <w:tc>
          <w:tcPr>
            <w:tcW w:w="79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rates for the Company's leases as of March 31, 2026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7"/>
        </w:trPr>
        <w:tc>
          <w:tcPr>
            <w:tcW w:w="7720" w:type="dxa"/>
            <w:vAlign w:val="bottom"/>
            <w:tcBorders>
              <w:bottom w:val="single" w:sz="8" w:color="CFF2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FF2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FF2FF"/>
            </w:tcBorders>
            <w:shd w:val="clear" w:color="auto" w:fill="CFF2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720" w:type="dxa"/>
            <w:vAlign w:val="bottom"/>
            <w:tcBorders>
              <w:bottom w:val="single" w:sz="8" w:color="CFF2FF"/>
            </w:tcBorders>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FF2FF"/>
            </w:tcBorders>
            <w:shd w:val="clear" w:color="auto" w:fill="CFF2FF"/>
          </w:tcPr>
          <w:p>
            <w:pPr>
              <w:spacing w:after="0"/>
              <w:rPr>
                <w:sz w:val="21"/>
                <w:szCs w:val="21"/>
                <w:color w:val="auto"/>
              </w:rPr>
            </w:pPr>
          </w:p>
        </w:tc>
        <w:tc>
          <w:tcPr>
            <w:tcW w:w="1720" w:type="dxa"/>
            <w:vAlign w:val="bottom"/>
            <w:tcBorders>
              <w:bottom w:val="single" w:sz="8" w:color="CFF2FF"/>
            </w:tcBorders>
            <w:shd w:val="clear" w:color="auto" w:fill="CFF2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9—Debt</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July 26, 2023 (the "Closing Date"), the Company entered into a Credit Agreement (the "Credit Agreement"), by and between the Company, as borrower, and OrbiMed Royalty &amp; Credit Opportunities IV, LP, a Delaware limited partnership (the "Initial Lender"). The Company borrowed $50.0 million under the Credit Agreement on July 26, 2023, resulting in net proceeds of approximately $44.1 million after payment of certain fees and transaction related expenses.</w:t>
      </w:r>
    </w:p>
    <w:p>
      <w:pPr>
        <w:spacing w:after="0" w:line="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25, 2025, the Company remitted $35.0 million in cash to fully settle and extinguish all amounts outstanding under its Credit Agreement. As a result of the settlement, the Company recognized a loss on extinguishment of debt of $1.5 million during the year ended December 31, 2025. The Company had a derivative liability related to a bifurcated settlement feature of the Credit Agreement. The derivative liability was remeasured to fair value immediately prior to settlement, resulting in a reduction to nil, with the corresponding change in fair value of derivative liability recognized in the consolidated statement of operations.</w:t>
      </w:r>
    </w:p>
    <w:p>
      <w:pPr>
        <w:spacing w:after="0" w:line="7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recognized interest expense related to the Credit Agreement of $2.2 million, of which $1.5 million was interest on the term loan and $0.7 million was non-cash interest expense related to the amortization of deferred debt issuance costs and accrual of the final payment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Torii Agreements</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March 17, 2021, the Company entered into a collaboration and license agreement (the "Torii Agreement") with Torii, pursuant to which the Company granted Torii an exclusive license to develop and commercialize the Company’s product candidates that contain a topical formulation of cantharidin for the treatment of molluscum contagiosum and common warts in Japan, including YCANTH (VP-102). Additionally, the Company granted Torii a right of first negotiation with respect to additional indications for the licensed products and certain additional products for use in the licensed field, in each case in Japan.</w:t>
      </w:r>
    </w:p>
    <w:p>
      <w:pPr>
        <w:spacing w:after="0" w:line="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of March 31, 2026, the Company had received milestone payments from Torii in prior periods totaling $38.0 million, including an $8.0 million milestone payment in July 2025 and a $10.0 million milestone payment in September 2025, as described below. As of March 31, 2026, the Company is entitled to receive from Torii an additional $32.0 million in aggregate payments, contingent on achievement of specified regulatory and sales milestones, in addition to transfer price payments for supply of product, which will begin to be replaced by royalty payments as part of the manufacturing transfer. The transfer price and royalty payments shall be payable, on a product-by-product basis, beginning on the first commercial sale of such product and ending on the latest of (a) expiration of the last-to-expire valid claim contained in certain licensed patents in Japan that cover such product, (b) expiration of regulatory exclusivity for the first indication for such product in Japan, and, (c) (i) with respect to the first product, ten years after first commercial sale of such product, and, (ii) with respect to any other product, the later of (x) ten years after first commercial sale of the first product and (y) five years after first commercial sale of such product.</w:t>
      </w:r>
    </w:p>
    <w:p>
      <w:pPr>
        <w:spacing w:after="0" w:line="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Torii Agreement expires on a product-by-product basis upon expiration of Torii’s obligation under the agreement to make transfer price payments for such product. Torii has the right to terminate the agreement upon specified prior written notice to us. Additionally, either party may terminate the agreement in the event of an uncured material breach of the agreement by, or insolvency of, the other party. The Company may terminate the agreement in the event that Torii commences a legal action challenging the validity, enforceability or scope of any licensed patents.</w:t>
      </w:r>
    </w:p>
    <w:p>
      <w:pPr>
        <w:spacing w:after="0" w:line="7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collaboration revenue of $0.7 million and $17,000 for the three months ended March 31, 2026 and 2025, respectively, related to commercial supply and development activity. The cost of collaboration revenue consists of expenses incurred by the Company for commercial supply and to support development and testing services.</w:t>
      </w:r>
    </w:p>
    <w:p>
      <w:pPr>
        <w:spacing w:after="0" w:line="6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May 14, 2024, the Company entered into the First Amendment to the Torii Agreement (the "First Amendment"). Pursuant to the First Amendment, the Company and Torii agreed on the framework of a cost sharing arrangement for the global Phase 3 program of YCANTH (VP-102) for the treatment of common warts (the "Program"), with Torii paying all the costs of the Program when due and the Company repaying Torii half of the cost (the "Company Portion"). The results of the Program will be utilized by the Company in the filing of its new drug application with the FDA for YCANTH (VP-</w:t>
      </w:r>
    </w:p>
    <w:p>
      <w:pPr>
        <w:spacing w:after="0" w:line="3" w:lineRule="exact"/>
        <w:rPr>
          <w:sz w:val="20"/>
          <w:szCs w:val="20"/>
          <w:color w:val="auto"/>
        </w:rPr>
      </w:pPr>
    </w:p>
    <w:p>
      <w:pPr>
        <w:ind w:right="40" w:firstLine="8"/>
        <w:spacing w:after="0" w:line="253" w:lineRule="auto"/>
        <w:tabs>
          <w:tab w:leader="none" w:pos="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common warts. The Company Portion accrues interest annually at the greater of (i) the one-month SOFR plus 2% and (ii) 6%. Torii may recoup the Company's share of the costs plus applicable interest against certain development milestone payments in the Torii Agreement that would otherwise be due to the Company under terms of the Torii Agreement. In addition, if Torii has not received payment or other recoupment in full of the Company Portion plus applicable interest within 60 months after August 20, 2025, the date on which Torii made its first payment for the Program costs, Torii may invoice the Company for the remaining Company Portion plus applicable interest.</w:t>
      </w:r>
    </w:p>
    <w:p>
      <w:pPr>
        <w:spacing w:after="0" w:line="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First Amendment, the Company issued Torii a warrant to purchase up to 50,000 shares of the Company’s common stock at an exercise price per share of $95.60. The warrant has a term of ten years and is exercisable only with respect to the shares that have vested as of the date of exercise. One-third of the shares underlying the warrant vested in December 2025, when the first patient was dosed in the Program, with the remaining vesting occurring one-third on the date that the database lock with respect to the Trial occurs and one-third on the date the Company submits a new drug application to the FDA for YCANTH (VP-102) for the treatment of common warts.</w:t>
      </w:r>
    </w:p>
    <w:p>
      <w:pPr>
        <w:spacing w:after="0" w:line="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June 27, 2025, the Company entered into the Second Amendment to the Torii Agreement (the "Second Amendment"), which further revised the details of the cost sharing arrangement initially negotiated as part of the First Amendment. The Second Amendment accelerated an $8.0 million milestone payment, which was paid to the Company in July 2025, following Torii's approval of the study plan and execution of the agreement with the clinical research organization ("CRO"). The Company recognized revenue related to this milestone in the second quarter of 2025, when it became probable that the associated performance obligations were met. The milestone payment was initially conditioned upon the dosing of the first patient as part of the Program. In September 2025, Torii paid to the Company a $10.0 million milestone payment upon the approval of TO-208, referred to as YCANTH in the U.S., for molluscum contagiosum in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Japan, in cash, rather than as an offset to costs of the Program as originally contemplated under the First Amendment. Torii will be paying the first $40.0 million of out-of-pocket costs when due, with the Company repaying to Torii half of such costs over time. Consistent with the First Amendment, to repay its portion of the costs of the Program, the Company will offset amounts otherwise due from Torii for future royalties, certain transfer price payments and remaining development milestones. To the extent the cost of the Program exceeds $40.0 million, the Company will pay such excess costs, up to a specified maximum amount, and Torii will repay to the Company half of such costs. The Second Amendment also sets forth that the Company will initiate a manufacturing transfer to Torii, which is expected to take several years, that will allow Torii to produce YCANTH (TO-208) applicators to be sold in Japan. In the interim, Torii will continue to purchase applicators from the Company. After the transfer of at least one component of the manufacturing process, the Company will begin earning royalties related to net sales in Japan of applicators manufactured by Torii and/or its manufacturing partners in lieu of the transfer price for completed applicators.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accounting for the Second Amendment as a R&amp;D funding arrangement since the Company is obligated to repay Torii regardless</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 outcome of the research such that a substantive and genuine transfer of risk has not occurred. In August 2025, Torii paid $8.6 million to a CRO, half of which comprises the Company Portion.</w:t>
      </w:r>
    </w:p>
    <w:p>
      <w:pPr>
        <w:spacing w:after="0" w:line="5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Upon Torii’s $8.6 million payment to the CRO, representing an initial deposit for clinical trial services and fees, the Company recorded a $4.3 million funding liability ("R&amp;D Funding Liability") for the Company Portion it will pay to Torii, as described above, and a corresponding R&amp;D asset ("Deferred R&amp;D Services") of $4.3 million representing its right to the prepaid research and development services. The Deferred R&amp;D Services asset is classified between current and non-current assets based on the expected timing of service performance.</w:t>
      </w:r>
    </w:p>
    <w:p>
      <w:pPr>
        <w:spacing w:after="0" w:line="11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will expense the Deferred R&amp;D Services within R&amp;D expense as the services are performed by the CRO. Because the R&amp;D Funding Liability is with a collaborator and the interest rate is below market, the Company is imputing interest expense using a 12% market rate of interest, and the difference between the market rate of interest and the rate being charged by Torii will reduce research and development expense. Interest expense of $0.1 million was recognized during the three months ended March 31, 2026.</w:t>
      </w:r>
    </w:p>
    <w:p>
      <w:pPr>
        <w:spacing w:after="0" w:line="7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As part of the Program, the Company will also directly contract with third parties for certain clinical supply and distribution services that will be reimbursed by Torii and those reimbursements will be recognized as contra-research and development expense once incurred. For the three months ended March 31, 2026, the Company recognized $0.2 million as contra-research and development expense. Since the inception of the Program, the Company has recorded $1.0 million as contra-research and development expense related to this project.</w:t>
      </w:r>
    </w:p>
    <w:p>
      <w:pPr>
        <w:spacing w:after="0" w:line="7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total program costs incurred under the arrangement were $3.4 million, of which $1.7 million represented the Company's share and was recognized as research and development expense. The remaining costs represented Torii's share of the program costs and were not reflected in the Company's Consolidated Statement of Operations. Since the inception of the Program, total program costs incurred under the arrangement were $5.6 million, of which $2.8 million represented the Company's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Lytix Agreement</w:t>
      </w:r>
    </w:p>
    <w:p>
      <w:pPr>
        <w:spacing w:after="0" w:line="12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an exclusive license agreement with Lytix Biopharma ASA ("Lytix") for the use of licensed technology, referred to as VP-315, to research, develop, manufacture, have manufactured, use, sell, have sold, offer for sale, import, and otherwise commercialize products for use in all malignant and pre-malignant dermatological indications, other than metastatic melanoma and metastatic Merkel cell carcinoma (the "Lytix Agreement"). As part of the Lytix Agreement, the Company has paid Lytix milestone fees of $3.6 million in previous periods. The Company is also obligated to pay up to $111.0 million contingent on achievement of specified development, regulatory, and sales milestones, as well as tiered royalties based on worldwide annual net sales ranging in the low double digits to the mid-teens, subject to certain customary reductions. The Company’s obligation to pay royalties expires on a country-by-country and product-by-product basis on the later of the expiration or abandonment of the last to expire licensed patent covering VP-315 anywhere in the world and expiration of regulatory exclusivity for VP-315 in such country. Additionally, all upfront fees and milestone-based payments received by the Company from a sublicensee will be treated as net sales and will be subject to the royalty payment obligations under the Lytix Agreement, and all royalties received by the Company from a sublicensee shall be shared with Lytix at a rate that is initially 50% but decreases based on the stage of development of VP-315 at the time such sublicense is granted.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Parties</w:t>
      </w:r>
    </w:p>
    <w:p>
      <w:pPr>
        <w:spacing w:after="0" w:line="12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Chief Executive Officer, Jayson Rieger, and our Chief Operating Officer, David Zawitz, are former employees of, and current consultants to, PBM Capital Group, LLC, an entity controlled by Paul B. Manning, a significant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 of the Company. Transactions with Alpha 6 Innovations, LLC, an affiliate of Sean Stalfort who is a director of the Company comprised $108,000 for the three months ended March 31, 2026, of which $84,000 were pass through costs, and $57,000 for the three months ended March 31, 2025, of which $48,000 were pass through costs.</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(i) our unaudited interim consolidated financial statements and the related notes thereto included elsewhere in this Quarterly Report on Form 10-Q and (ii) our audited financial statements and notes thereto and management’s discussion and analysis of financial condition and results of operations for the years ended December 31, 2025 and 2024 included in our Annual Report on Form 10-K for the year ended December 31, 2025, filed with the Securities and Exchange Commission (the "SEC") on March 11, 2026. Our consolidated financial statements have been prepared in accordance with U.S. GAAP.</w:t>
      </w:r>
    </w:p>
    <w:p>
      <w:pPr>
        <w:spacing w:after="0" w:line="75"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We own various U.S. federal trademark applications and unregistered trademarks, including our company name and YCANTH. All other trademarks or trade names referred to in this Quarterly Report on Form 10-Q are the property of their respective owners. Solely for convenience, the trademarks and trade names in this report are referred to without the symbols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but such references should not be construed as an indication that their respective owners will not assert, to the fullest extent under applicable law, their rights thereto.</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and Section 21E of the Securities Exchange Act of 1934 (the "Exchange Act"), including, without limitation, statements regarding our expectations, beliefs, intentions or future strategies that are signified by the words "expect," "anticipate," "intend," "believe," "may," "plan," "seek" 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Our actual results could differ materially from those discussed in these forward-looking statements. In evaluating our business, you should carefully consider the information set forth in our Annual Report on Form 10-K for the year ended December 31, 2025, filed with the SEC on March 11, 2026, in this Quarterly Report under Part II - Item 1A "Risk Factors," and in our other filings with the SEC.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 therapeutics company developing and commercializing medications for the treatment of dermatologic diseases, including skin cancers. Our commercial product and portfolio of product candidates are clinician administered therapies in areas of high unmet need. Our current product portfolio consists of one approved product with several potential follow-on indications, as well as an additional pipeline product. Our commercial product, YCANTH (VP-102), was approved by the U.S. Food and Drug Administration, or FDA, in July 2023 for the treatment of molluscum in adult and pediatric patients two years of age and older. YCANTH (VP-102) is a proprietary drug-device combination that contains a GMP-controlled formulation of cantharidin. We are currently developing YCANTH (VP-102) for a potential follow-on indication for the treatment of common warts. Our second development candidate, VP-315, is an oncolytic peptide-based injectable therapy for the potential treatment of dermatology oncologic conditions, including basal cell carcinoma or BCC.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commercially launched YCANTH (VP-102) in August 2023 in the United States for the treatment of molluscum. We have built a specialized sales organization consisting of 44 employee sales representatives in the United States focused on pediatric dermatologists, dermatologists, pediatricians and select other primary care healthcare providers.</w:t>
      </w:r>
    </w:p>
    <w:p>
      <w:pPr>
        <w:spacing w:after="0" w:line="6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fourth quarter of 2025, we also launched YcanthRx, a non-dispensing pharmacy, in order to streamline and simplify the provider experience by allowing offices to send YCANTH prescriptions to the same place, regardless of the patient's insurance coverage, for triage to an in-network dispensing pharmacy.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end of 2026, we expect to expand the field sales force to approximately 50 employee sales representatives.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Pipeline Products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YCANTH (VP-102) - Treatment of Common Warts</w:t>
      </w:r>
    </w:p>
    <w:p>
      <w:pPr>
        <w:spacing w:after="0" w:line="11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also advancing YCANTH (VP-102) for common warts through a separate regulatory approval process and have initiated a global Phase 3 program, or the Program, of YCANTH for the treatment of common warts with our partner, Torii. The first patient was dosed in the Program in December 2025. The Program is ongoing and new subjects continue to be enrolled.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October 20, 2025, we announced that the Committee for Medicinal Products for Human Use of the European Medicines Agency provided positive feedback which supports the filing of a Marketing Authorization Application for YCANTH (VP-102) as a treatment for molluscum contagiosum in the EU with no requirement to complete additional clinical studies. We currently retain all global rights to YCANTH outside of Japan and we are exploring non-dilutive partnerships to fund development and commercialization for YCANTH (VP-102) for the treatment of molluscum contagiosum, as well as for common warts if approved, in additional geographic regions outside of the United States and Japan.</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VP-315 - Treatment of Basal Cell Carcinoma</w:t>
      </w:r>
    </w:p>
    <w:p>
      <w:pPr>
        <w:spacing w:after="0" w:line="11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We are also developing VP-315 for the treatment of BCC and potentially additional dermatological oncology indications. In November 2025, we presented additional data at the Society for Immunotherapy of Cancer 40th Annual Meeting, which showed that VP-315 induced a robust local immune response with both cell-mediated and humoral components, effectively shifting the tumor microenvironment from an immunosuppressive to an anti-tumor state, and additional data regarding the histologic assessment in non-injected lesions that suggests a potential abscopal-like effect. Since that presentation, there has been a growing interest in this program across a broad audience. We believe this reflects the high response rates observed in the study and the potential for VP-315 to change the paradigm for the treatment of basal cell carcinoma, particularly for patients wishing to avoid or reduce their surgical burden and recovery. Our enthusiasm is further supported by the suggested potential for less scarring and improved compliance versus other therapeutic options such as surgery and topicals, as either a primary or neoadjuvant treatment for superficial and nodular tumors. We have also continued to evaluate the abscopal response in 14 observed but not treated lesions in the Phase 2 study and have reported that 3 out of the 14 lesions had complete histologic clearance and that there was a 67% overall reduction in tumor size across all 14 lesions. If this overall product profile could be demonstrated in pivotal Phase 3 testing, we believe VP-315 has the potential to emerge as a non-surgical, immunotherapy treatment option for basal cell carcinoma and other skin cancers.</w:t>
      </w:r>
    </w:p>
    <w:p>
      <w:pPr>
        <w:spacing w:after="0" w:line="82"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We have obtained feedback from the FDA from the end-of-Phase 2 meeting in 2025 that supports an efficient Phase 3 program and path to registration for VP-315. This includes two Phase 3 studies of approximately 100 subjects each in placebo-controlled studies with a primary endpoint of complete clearance at week 14. Additional long-term follow-up clinical studies will be needed post-approval. We believe these data, coupled with the EOP2 regulatory feedback, further support the clinical efficacy and histologic clearance observed in the Phase 2 BCC trial. These data support the advancement of the Phase 3 Program and we have initiated clinical and chemistry, manufacturing and controls ("CMC") activities to prepare for commencement of Phase 3 clinical trials. We may also pursue non-dilutive strategic partnerships to help fund the development and commercialization of VP-315.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Overview</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in 2013, our operations have focused on developing YCANTH (VP-102) and expanding our development pipeline (which includes VP-315), organizing and staffing our company, business planning, raising capital, establishing our intellectual property portfolio, conducting clinical trials and commercializing YCANTH. We have funded our operations primarily through the sale of equity and equity-linked securities and through borrowings under loan agreements.</w:t>
      </w:r>
    </w:p>
    <w:p>
      <w:pPr>
        <w:spacing w:after="0" w:line="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July 26, 2023, we entered into the Credit Agreement, pursuant to which we borrowed $50.0 million under the Loan Facility (as defined in Note 9), resulting in net proceeds of approximately $44.1 million after payment of certain fees and transaction related expenses. Amounts borrowed under the Loan Facility were scheduled to mature on July 26, 2028. On November 25, 2025, following the Private Placement described below, we fully extinguished the Loan Facility by paying a cash settlement amount of $35.0 million.</w:t>
      </w:r>
    </w:p>
    <w:p>
      <w:pPr>
        <w:spacing w:after="0" w:line="7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November 23, 2025, we entered into Securities Purchase Agreements with certain investors, or the Purchasers, pursuant to which we sold and issued in a private placement, or the Private Placement, an aggregate of (i) 6,499,826 shares of our common stock, (ii) with respect to certain Purchasers, pre-funded warrants to purchase 5,305,164 shares of common stock, or the Pre-Funded Warrants, in lieu of shares and (iii) in either case, accompanying Series C warrants to purchase 2,951,241 shares of common stock, or the Series C Warrants. The purchase price per share of common stock and accompanying Series C Warrant was $4.24125 per share and the purchase price for the Pre-Funded Warrants and accompanying Series C Warrant was $4.24115 per share. The Series C Warrants expire on November 23, 2030. We received net proceeds of $49.1 million from the private placement transaction, after deducting placement fees of $0.9 million.</w:t>
      </w:r>
    </w:p>
    <w:p>
      <w:pPr>
        <w:spacing w:after="0" w:line="8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had cash of $20.6 million. Based on our current business plan and current capital resources, combined with the uncertainty regarding the availability of additional funding, we have concluded that there is substantial doubt regarding our ability to continue as a going concern within one year after the date these consolidated financial statements are issued. Our consolidated financial statements have been prepared on a going concern basis, which</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68"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We plan to secure additional capital in the future through equity or debt financings, partnerships, or other sources to carry out our planned commercial and development activities. If we are unable to raise capital when needed or on attractive terms, we would be forced to delay, reduce or eliminate continued and future commercialization efforts and/or research and development programs.</w:t>
      </w:r>
    </w:p>
    <w:p>
      <w:pPr>
        <w:spacing w:after="0" w:line="6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incurred substantial operating losses since inception and expect to continue to incur significant losses for the foreseeable future and may never become profitable. As of March 31, 2026, we had an accumulated deficit of $334.6 million. We expect to continue to incur significant expenses and operating losses for the foreseeable future. Our expenses may increase in connection with our ongoing activities, as we:</w:t>
      </w:r>
    </w:p>
    <w:p>
      <w:pPr>
        <w:spacing w:after="0" w:line="68" w:lineRule="exact"/>
        <w:rPr>
          <w:sz w:val="20"/>
          <w:szCs w:val="20"/>
          <w:color w:val="auto"/>
        </w:rPr>
      </w:pPr>
    </w:p>
    <w:p>
      <w:pPr>
        <w:ind w:left="1460" w:right="120" w:hanging="804"/>
        <w:spacing w:after="0" w:line="266"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establish our commercialization infrastructure, obtain secondary suppliers for key components of the YCANTH manufacturing process and scale up external manufacturing and distribution capabilities to commercialize YCANTH (VP-102) for the treatment of molluscum contagiosum and product candidates for which we may obtain regulatory approval;</w:t>
      </w:r>
    </w:p>
    <w:p>
      <w:pPr>
        <w:spacing w:after="0" w:line="67" w:lineRule="exact"/>
        <w:rPr>
          <w:rFonts w:ascii="Times New Roman" w:cs="Times New Roman" w:eastAsia="Times New Roman" w:hAnsi="Times New Roman"/>
          <w:sz w:val="18"/>
          <w:szCs w:val="18"/>
          <w:color w:val="auto"/>
        </w:rPr>
      </w:pPr>
    </w:p>
    <w:p>
      <w:pPr>
        <w:ind w:left="1460" w:right="240" w:hanging="804"/>
        <w:spacing w:after="0" w:line="282"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clinical programs evaluating VP-102 for the treatment of common warts and VP-315 for the treatment of BCC and potentially additional dermatological oncology indications;</w:t>
      </w:r>
    </w:p>
    <w:p>
      <w:pPr>
        <w:spacing w:after="0" w:line="53"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YCANTH (VP-102) for the treatment of common warts and VP-315 for the treatment of BCC;</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clinical, manufacturing, commercialization and scientific personnel; and</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while operating as a public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w:t>
      </w:r>
    </w:p>
    <w:p>
      <w:pPr>
        <w:spacing w:after="0" w:line="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 summary of our significant accounting policies are disclosed in our Annual Report on Form 10-K for the fiscal year ended December 31, 2025. However, we believe that the additional accounting policies disclosed in Note 2 to our consolidated financial statements are important to understanding and evaluating our reported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1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recognize revenue from sales of YCANTH (VP-102), or the Product, in accordance with ASC Topic 606 –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YCANTH (VP-102) is available for commercial sale and shipment for the treatment of patients by a healthcare provider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sell the Product to several pharmaceutical wholesalers and distributors, or the Customers, who in turn sell the Product directly to pharmacies, clinics, hospitals, and federal healthcare programs. Revenue is recognized as the Product is physically delivered to the Customers.</w:t>
      </w:r>
    </w:p>
    <w:p>
      <w:pPr>
        <w:spacing w:after="0" w:line="3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Gross product sales are reduced by corresponding gross-to-net, or GTN, estimates using the expected value method, resulting in our reported "Product revenue, net" in the accompanying consolidated statements of operations. Product revenue, net reflects the amount we ultimately expect to realize in net cash proceeds, taking into account the current period gross sales and related cash receipts and the subsequent cash disbursements on these sales that we estimate for the various GTN categories as well as adjustments for any potential future product returns from Customers. The GTN estimates are based upon information received from external sources, such as written or oral information obtained from our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customers with respect to their period-end inventory levels and sales to end-users during the period, in combination with management’s informed judgments. Due to the inherent uncertainty of these estimates, the actual amount of product returns, government chargebacks, prompt pay discounts, commercial rebates, Medicaid rebates, co-pay assistance and distribution, data, and group purchasing organizations, or GPOs, administrative fees may be materially above or below the amount estimated. Variance between actual amounts and estimated amounts may result in prospective adjustments to reported net product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Revenue</w:t>
      </w:r>
    </w:p>
    <w:p>
      <w:pPr>
        <w:spacing w:after="0" w:line="121"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License and collaboration revenue represents revenue from the Torii Agreement pursuant to which we granted Torii an exclusive license to develop and commercialize our product candidates that contain a topical formulation of cantharidin for the treatment of molluscum contagiosum and common warts in Japan. In September 2025, YCANTH (VP-102) received regulatory approval from Japan's Ministry of Health for treatment of molluscum contagiosum and in February 2026, Torii launched YCANTH as a new treatment option for molluscum in children over 2 years of age in Japan.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the cost of inventory sold, which includes direct manufacturing and supply chain costs. Cost of product revenue also includes period costs related to excess and obsolete inventory write-downs.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License and Collaboration Revenue</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cost of license and collaboration revenue consists of payments for commercial product and manufacturing supply to support development and testing services pursuant to the Torii Clinical Supply Agreement.</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salaries and related costs for personnel in sales, executive and administrative functions, including stock-based compensation, travel expenses and recruiting expenses. Other selling, general and administrative expenses include cost of samples, sponsorships, consumer and health care professional marketing and advertising expense, insurance costs, and professional fees for audit, tax and legal services.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YCANTH (VP-102) for the treatment of molluscum contagiosum, potential follow-on indications for YCANTH (VP-102), including common warts, and our other product candidates in addition to VP-315 for BCC. We expense research and development costs as incurred. These expenses include:</w:t>
      </w:r>
    </w:p>
    <w:p>
      <w:pPr>
        <w:spacing w:after="0" w:line="68" w:lineRule="exact"/>
        <w:rPr>
          <w:sz w:val="20"/>
          <w:szCs w:val="20"/>
          <w:color w:val="auto"/>
        </w:rPr>
      </w:pPr>
    </w:p>
    <w:p>
      <w:pPr>
        <w:ind w:left="1460" w:right="160" w:hanging="804"/>
        <w:spacing w:after="0" w:line="28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investigative sites and consultants that conduct our clinical trials and preclinical studies;</w:t>
      </w:r>
    </w:p>
    <w:p>
      <w:pPr>
        <w:spacing w:after="0" w:line="53" w:lineRule="exact"/>
        <w:rPr>
          <w:rFonts w:ascii="Times New Roman" w:cs="Times New Roman" w:eastAsia="Times New Roman" w:hAnsi="Times New Roman"/>
          <w:sz w:val="18"/>
          <w:szCs w:val="18"/>
          <w:color w:val="auto"/>
        </w:rPr>
      </w:pPr>
    </w:p>
    <w:p>
      <w:pPr>
        <w:ind w:left="1460" w:right="460" w:hanging="804"/>
        <w:spacing w:after="0" w:line="28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supply scale-up expenses and the cost of acquiring and manufacturing preclinical and clinical trial supply and commercial supply, including manufacturing validation batches;</w:t>
      </w:r>
    </w:p>
    <w:p>
      <w:pPr>
        <w:spacing w:after="0" w:line="53"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regulatory activities; and</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materials and supplies used to support our research activities.</w:t>
      </w:r>
    </w:p>
    <w:p>
      <w:pPr>
        <w:spacing w:after="0" w:line="11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increase personnel costs, including stock-based compensation, initiate and conduct clinical trials of YCANTH (VP-102) in patients with common warts and VP-315 for BCC and potentially additional dermatological oncology indications and prepare regulatory filings for our product candidates.</w:t>
      </w:r>
    </w:p>
    <w:p>
      <w:pPr>
        <w:spacing w:after="0" w:line="7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YCANTH (VP-102) or our other product</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candidates. This uncertainty is due to the numerous risks and uncertainties associated with the duration and cost of clinical trials, which vary significantly over the life of a project as a result of many factors, including:</w:t>
      </w:r>
    </w:p>
    <w:p>
      <w:pPr>
        <w:spacing w:after="0" w:line="54" w:lineRule="exact"/>
        <w:rPr>
          <w:sz w:val="20"/>
          <w:szCs w:val="20"/>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1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expenditures are subject to additional uncertainties, including the manufacturing process for our product candidates,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Results of Operations for the Three Months Ended March 31, 2026 and 2025</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33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57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 net</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98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license and collaboration revenue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(9,682)</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Product revenue, net was $4.3 million for the three months ended March 31, 2026, compared to $3.4 million for the three months ended March 31, 2025. The increase in product revenue, net was primarily related to an increase in deliveries of YCANTH to our distribution partners commensurate with an increase in dispensed applicator unit volume.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License and collaboration revenue was $0.7 million for the three months ended March 31, 2026, compared to $17,000 for the three months ended March 31, 2025. License and collaboration revenue for the three months ended March 31, 2026 consisted primarily of commercial supply. License and collaboration revenue for the three months ended March 31, 2025 consisted of supplies and development activity with Torii.</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product revenue for the three months ended March 31, 2026 and 2025 was $0.5 million and $0.4 million, respectively, consisting primarily of product costs related to the sale of YCANTH (VP-102).</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License and Collaboration Revenue</w:t>
      </w:r>
    </w:p>
    <w:p>
      <w:pPr>
        <w:spacing w:after="0" w:line="11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Cost of license and collaboration revenue was $0.3 million and $14,000 for the three months ended March 31, 2026 and 2025. Cost of license and collaboration revenue consisted of commercial product and supplies and development activity with Torii.</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$10.0 million for the three months ended March 31, 2026, compared to $8.8 million for the three months ended March 31, 2025. Excluding the impact of stock-based compensation, the increase of $1.3 million was primarily a result of increased commercial spend, related to the expansion of the sales force.</w:t>
      </w:r>
    </w:p>
    <w:p>
      <w:pPr>
        <w:spacing w:after="0" w:line="68"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 for the three months ended March 31, 2026 and 2025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9"/>
        </w:trPr>
        <w:tc>
          <w:tcPr>
            <w:tcW w:w="6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28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3"/>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(including payroll)</w:t>
            </w:r>
          </w:p>
        </w:tc>
        <w:tc>
          <w:tcPr>
            <w:tcW w:w="10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(including payroll)</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7"/>
        </w:trPr>
        <w:tc>
          <w:tcPr>
            <w:tcW w:w="6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-736600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$3.9 million for the three months ended March 31, 2026, compared to $2.3 million for the three months ended March 31, 2025. Excluding the impact of stock-based compensation, the increase of $1.5 million was primarily due to the increased costs related to the Program.</w:t>
      </w:r>
    </w:p>
    <w:p>
      <w:pPr>
        <w:spacing w:after="0" w:line="6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 by product candidate or, for unallocated expenses, by type, for the three months ended March 31, 2026 and 2025. Unallocated expenses include compensation and other personnel-related costs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3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9"/>
        </w:trPr>
        <w:tc>
          <w:tcPr>
            <w:tcW w:w="6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280" w:type="dxa"/>
            <w:vAlign w:val="bottom"/>
            <w:tcBorders>
              <w:bottom w:val="single" w:sz="8" w:color="CFF0FC"/>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YCANTH (VP-102)</w:t>
            </w:r>
          </w:p>
        </w:tc>
        <w:tc>
          <w:tcPr>
            <w:tcW w:w="1020" w:type="dxa"/>
            <w:vAlign w:val="bottom"/>
            <w:tcBorders>
              <w:bottom w:val="single" w:sz="8" w:color="CFF0FC"/>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VP-315</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warts</w:t>
            </w:r>
          </w:p>
        </w:tc>
        <w:tc>
          <w:tcPr>
            <w:tcW w:w="10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10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7"/>
        </w:trPr>
        <w:tc>
          <w:tcPr>
            <w:tcW w:w="6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6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-1079500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Interest income was $0.2 million and $0.3 million for the three months ended March 31, 2026 and March 31, 2025, respectively. The decrease of $0.1 million was primarily due to lower cash balances.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$0.2 million for the three months ended March 31, 2026 compared to $2.2 million for the three months ended March 31, 2025. The decrease of $2.0 million was primarily related to the settlement of the Loan Facility and termination of the Credit Agreement with OrbiMed in November 2025, as discussed in Note 9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we had cash of $20.6 million. Since our inception, we have incurred negative cash flows from our operations. We have financed our operations since inception primarily through sales of our convertible preferred stock, the sale of our common stock, and $38.0 million from the Torii Agreement, which includes $8.0 million received in July 2025 and $10.0 million received in September 2025.</w:t>
      </w:r>
    </w:p>
    <w:p>
      <w:pPr>
        <w:spacing w:after="0" w:line="6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November 23, 2025, we sold an aggregate of (i) 6,499,826 shares of common stock, (ii) with respect to certain Purchasers, the Pre-funded warrants in lieu of shares of common stock and (iii) in either case, accompanying warrants to purchase 2,951,241 shares of our common stock, referred to herein as the Series C Warrants. The purchase price per share of Common Stock and accompanying Series C Warrant was $4.24125 per share and the purchase price for the Pre-Funded Warrants and accompanying Series C Warrant was $4.24115 per share. We received net proceeds of $49.1 million from the Private Placement, after deducting placement fees of $0.9 million.</w:t>
      </w:r>
    </w:p>
    <w:p>
      <w:pPr>
        <w:spacing w:after="0" w:line="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July 26, 2023, we entered into the Credit Agreement under which we borrowed $50.0 million, resulting in net proceeds to us of approximately $44.1 million after payment of certain fees and transaction related expenses. Amounts borrowed under the Loan Facility were set to mature on July 26, 2028. Based on our net revenue attributable to YCANTH on a trailing 12-month basis not meeting a specified amount set forth in the Credit Agreement as of December 31, 2024, we became obligated to start making principal payments starting in January 2025. We were obligated to repay the principal amount of the loan on the last day of each month in equal monthly installments through the maturity date, together with the applicable repayment premium and the exit fee. On November 25, 2025, we paid $35.0 million to fully settle the debt related to the Credit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b w:val="1"/>
          <w:bCs w:val="1"/>
          <w:color w:val="auto"/>
        </w:rPr>
        <w:t>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(in thousands):</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280" w:type="dxa"/>
            <w:vAlign w:val="bottom"/>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0"/>
        </w:trPr>
        <w:tc>
          <w:tcPr>
            <w:tcW w:w="7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00" w:type="dxa"/>
            <w:vAlign w:val="bottom"/>
            <w:tcBorders>
              <w:bottom w:val="single" w:sz="8" w:color="CFF0FC"/>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CFF0FC"/>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(12,677)</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100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r>
      <w:tr>
        <w:trPr>
          <w:trHeight w:val="27"/>
        </w:trPr>
        <w:tc>
          <w:tcPr>
            <w:tcW w:w="7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$9.2 million of cash, primarily resulting from a net loss of $9.7 million partially offset by the change in obligation for the R&amp;D funding arrangement of $1.3 million, non-cash stock-based compensation of $0.9 million, and the amortization of right-of-use assets related to operating and financing leases of $0.2 million. Net cash used by changes in operating assets and liabilities consisted primarily of an increase in accounts receivable of $2.5 million and a decrease in accrued expenses and other current liabilities of $0.6 million partially offset by a decrease in prepaid expenses and other assets of $0.4 million and an increase in deferred revenue of $0.2 million.</w:t>
      </w:r>
    </w:p>
    <w:p>
      <w:pPr>
        <w:spacing w:after="0" w:line="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$12.7 million of cash, primarily resulting from a net loss of $9.7 million partially offset by non-cash stock-based compensation of $1.0 million and non-cash interest expense of $0.7 million. Net cash used by changes in operating assets and liabilities consisted primarily of an increase in accounts receivable of $5.6 million partially offset by an increase in accrued expenses of $1.0 million and a decrease in prepaid expenses and other assets of $0.6 million.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use any cash in investing activities during the three months ended March 31, 2026 or 2025.</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by financing activities of $0.1 million was primarily due to the repayment of financing leases.</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by financing activities of $4.1 million was primarily due to the repayment of debt related to the Credit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we expect to continue to generate revenue from the sale of YCANTH (VP-102), our expenses may increase in connection with our ongoing activities, particularly as we continue the research and development of, continue or initiate clinical trials of, and seek marketing approval for, our product candidates. We will need substantial additional financing to fund our operations. If we are unable to raise capital when needed or on attractive terms, we would be forced to reduce operating expenses, delay, reduce or eliminate our research and development programs and/or continued and future commercialization efforts. In addition, the amount of proceeds we may be able to raise pursuant to our currently effective shelf registration statement on Form S-3 is limited. We are subject to the general instructions of Form S-3 known as the "baby shelf rules." Under these rules, the amount of funds we can raise through primary public offerings of securities in any 12-month period using our registration statement on Form S-3 is limited to one-third of the aggregate market value of the shares of our common stock held by non-affiliates. Therefore, we will be limited in the amount of proceeds we are able to raise by selling securities using our Form S-3 until such time as our public float exceeds $75.0 million.</w:t>
      </w:r>
    </w:p>
    <w:p>
      <w:pPr>
        <w:spacing w:after="0" w:line="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operating losses since inception and expect to continue to incur significant losses for the foreseeable future and may never become profitable. As of March 31, 2026, we had an accumulated deficit of $334.6 million. We believe our cash of $20.6 million as of March 31, 2026 will be sufficient to support our planned operations into the first quarter of 2027. Based on our current business plan and current capital resources, combined with the uncertainty regarding the availability of additional funding, we have concluded that there is substantial doubt regarding our ability to continue as a going concern within one year after the date these consolidated financial statements are issued. We plan to address the conditions that raise substantial doubt regarding our ability to continue as a going concern by, among other things, obtaining additional funding through equity offerings, debt financing, collaborations, strategic alliances and/or licensing arrangements.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 We have based this estimate on assumptions that may prove to be wrong, and we could exhaust our capital resources sooner than we expect. Our future capital requirements, and timing, will depend on many factors, including:</w:t>
      </w:r>
    </w:p>
    <w:p>
      <w:pPr>
        <w:spacing w:after="0" w:line="82" w:lineRule="exact"/>
        <w:rPr>
          <w:sz w:val="20"/>
          <w:szCs w:val="20"/>
          <w:color w:val="auto"/>
        </w:rPr>
      </w:pPr>
    </w:p>
    <w:p>
      <w:pPr>
        <w:ind w:left="1460" w:right="700" w:hanging="804"/>
        <w:spacing w:after="0" w:line="282"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achieved, and costs related to the commercialization of YCANTH (VP-102) for the treatment of molluscum contagiosum;</w:t>
      </w:r>
    </w:p>
    <w:p>
      <w:pPr>
        <w:spacing w:after="0" w:line="53"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clinical trials;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460" w:right="560" w:hanging="804"/>
        <w:spacing w:after="0" w:line="282"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covenants under our loan agreements;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timing of our clinical trials and our business;</w:t>
      </w:r>
    </w:p>
    <w:p>
      <w:pPr>
        <w:spacing w:after="0" w:line="117"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scale up commercial production of YCANTH (VP-102) and any product candidate we successfully commercialize; and</w:t>
      </w:r>
    </w:p>
    <w:p>
      <w:pPr>
        <w:spacing w:after="0" w:line="117" w:lineRule="exact"/>
        <w:rPr>
          <w:rFonts w:ascii="Times New Roman" w:cs="Times New Roman" w:eastAsia="Times New Roman" w:hAnsi="Times New Roman"/>
          <w:sz w:val="18"/>
          <w:szCs w:val="18"/>
          <w:color w:val="auto"/>
        </w:rPr>
      </w:pPr>
    </w:p>
    <w:p>
      <w:pPr>
        <w:ind w:left="1460" w:right="420" w:hanging="804"/>
        <w:spacing w:after="0" w:line="282"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sales and marketing capabilities for YCANTH (VP-102) and any product candidate that obtains regulatory approval.</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YCANTH (VP-102), and our other product candidates, if approved, may not achieve commercial success. Our commercial revenues will be derived solely from sales of YCANTH (VP-102) in the near term. We may need to continue to rely on additional financing to achieve our business objectives. Adequate additional financing may not be available to us on acceptable terms, or at all.</w:t>
      </w:r>
    </w:p>
    <w:p>
      <w:pPr>
        <w:spacing w:after="0" w:line="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Our ability to raise additional capital may be adversely impacted by potential worsening global economic conditions and the disruptions to, and volatility in, the credit and financial markets in the United States and worldwide. To the extent that we raise additional capital through the sale of equity or convertible debt securities, ownership interests of existing stockholders may be diluted, and the terms of these securities may include liquidation or other preferences that adversely affect our existing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to our contractual obligations and commitments as previously discussed in our Annual Report on Form 10-K for the fiscal year ended December 31, 2025.</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Risks</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previously disclosed in our Annual Report on Form 10-K for the fiscal year ended December 31, 2025.</w:t>
      </w:r>
    </w:p>
    <w:p>
      <w:pPr>
        <w:spacing w:after="0" w:line="26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Interim Chief Financial Officer, has evaluated the effectiveness of our disclosure controls and procedures (as such term is defined in Rules 13a-15(e) and 15d-15(e) under the Exchange Act) as of the end of the period covered by this Quarterly Report on Form 10-Q to ensure that the information required to be disclosed by us in the reports that it files or submits under the Exchange Act is recorded, processed, summarized and reported within the time periods specified in SEC rules and forms, and that information required to be disclosed in the reports we file or submit under the Exchange Act is accumulated and communicated to our management, including our Chief Executive Officer and Interim Chief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such evaluation, our Chief Executive Officer and Interim Chief Financial Officer have concluded that our disclosure controls and procedures were effective as of March 31,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13a-15(b) and 15d-15(b) of the Exchange Act that occurred during the quarter ended March 31, 2026, that has materially affected, or is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June 6, 2022, plaintiff Kranthi Gorlamari ("Plaintiff") filed a putative class action complaint captioned Gorlamari v. Verrica Pharmaceuticals Inc., et al., in the U.S. District Court for the Eastern District of Pennsylvania against us and certain of our current and former officers and directors ("Defendants"). On January 12, 2023, the Plaintiff filed an amended complaint alleging that Defendants violated federal securities laws by, among other things, failing to disclose certain manufacturing deficiencies at the facility where our contract manufacturer produced bulk solution for the YCANTH (VP-</w:t>
      </w:r>
    </w:p>
    <w:p>
      <w:pPr>
        <w:spacing w:after="0" w:line="3" w:lineRule="exact"/>
        <w:rPr>
          <w:sz w:val="20"/>
          <w:szCs w:val="20"/>
          <w:color w:val="auto"/>
        </w:rPr>
      </w:pPr>
    </w:p>
    <w:p>
      <w:pPr>
        <w:ind w:right="80" w:firstLine="8"/>
        <w:spacing w:after="0" w:line="255"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device and that such deficiencies posed a risk to the prospects for regulatory approval of YCANTH (VP-102) for the treatment of molluscum. The amended complaint seeks unspecified compensatory damages and other relief on behalf of Plaintiff and all other persons and entities which purchased or otherwise acquired our securities between May 19, 2021 and May 24, 2022.</w:t>
      </w:r>
    </w:p>
    <w:p>
      <w:pPr>
        <w:spacing w:after="0" w:line="7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January 12, 2024, the Court granted in part and denied in part Defendants’ motion to dismiss the amended complaint. The Court held that Plaintiff’s claims relating to statements made in May and June 2021 were sufficiently pled, but dismissed Plaintiff’s claims relating to all other statements made during the Putative Class Period. On January 26, 2024, Plaintiff filed a second amended complaint in an attempt to cure certain of the deficiencies identified in the January 12, 2024 ruling. On September 3, 2024, the Court granted in part and denied in part Defendants’ motion to dismiss the second amended complaint. The Court dismissed Plaintiff’s claims related to one of the two individual defendants but held that Plaintiff’s claims against us and the other individual defendant were sufficiently pled. On March 4, 2026, the Court granted Plaintiff's motion for class certification.</w:t>
      </w:r>
    </w:p>
    <w:p>
      <w:pPr>
        <w:spacing w:after="0" w:line="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on October 21, 2024, May 12, 2025, and June 26, 2025, plaintiffs Ivan S. Cohen, Paul Cannon, and Joseph Bonaccorso, respectively, each filed a putative stockholder derivative lawsuit in the U.S. District Court for the Eastern District of Pennsylvania. Each derivative complaint names us as a nominal defendant and purports to bring claims on our behalf against certain of our current and former directors and officers for alleged violations of the federal securities laws and breaches of their fiduciary duties in relation to substantially the same factual allegations as the above-described putative class action lawsuit. Each derivative complaint primarily seeks to recover for us compensatory damages for losses allegedly sustained related to the facts alleged, restitution, and punitive damages. On December 16, 2024, the Court granted the parties' joint stipulation to stay the Cohen derivative lawsuit. On July 21, 2025, the Court granted the parties’ joint stipulation in the Cohen and Cannon derivative lawsuits to consolidate the two actions and stay the consolidated action. On July 24, 2025, the plaintiff in the Bonaccorso derivative lawsuit filed a corrected complaint to clarify that the named plaintiff "is not Joseph (Joe) Bonaccorso, the former Chief Commercial Officer" of the Company. On July 29, 2025, the plaintiff in the Bonaccorso derivative lawsuit filed a notice voluntarily dismissing the action without prejudice.</w:t>
      </w:r>
    </w:p>
    <w:p>
      <w:pPr>
        <w:spacing w:after="0" w:line="8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are involved in ordinary, routine legal proceedings that are not considered by management to be material. We believe the ultimate liabilities resulting from such legal proceedings will not materially affect our financial position or our results of operations or cash flows.</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2025, filed with the Securities and Exchange Commission on March 11, 2026. During the first quarter of fiscal 2026, there were no material changes to our previously disclosed risk factors.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 and Non-Rule 10b5-1 Trading Arrangements</w:t>
      </w:r>
    </w:p>
    <w:p>
      <w:pPr>
        <w:spacing w:after="0" w:line="20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modified or terminated a "Rule 10b5-1 trading arrangement" or a "non-Rule 10b5-1 trading arrangement" (as each term is defined in Item 408 of Regulation S-K).</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 INDEX</w:t>
            </w:r>
          </w:p>
        </w:tc>
      </w:tr>
      <w:tr>
        <w:trPr>
          <w:trHeight w:val="401"/>
        </w:trPr>
        <w:tc>
          <w:tcPr>
            <w:tcW w:w="49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Borders>
              <w:top w:val="single" w:sz="8" w:color="auto"/>
            </w:tcBorders>
            <w:gridSpan w:val="2"/>
          </w:tcPr>
          <w:p>
            <w:pPr>
              <w:spacing w:after="0"/>
              <w:rPr>
                <w:sz w:val="24"/>
                <w:szCs w:val="24"/>
                <w:color w:val="auto"/>
              </w:rPr>
            </w:pPr>
          </w:p>
        </w:tc>
        <w:tc>
          <w:tcPr>
            <w:tcW w:w="4960" w:type="dxa"/>
            <w:vAlign w:val="bottom"/>
            <w:gridSpan w:val="6"/>
          </w:tcPr>
          <w:p>
            <w:pPr>
              <w:spacing w:after="0"/>
              <w:rPr>
                <w:sz w:val="24"/>
                <w:szCs w:val="24"/>
                <w:color w:val="auto"/>
              </w:rPr>
            </w:pPr>
          </w:p>
        </w:tc>
      </w:tr>
      <w:tr>
        <w:trPr>
          <w:trHeight w:val="204"/>
        </w:trPr>
        <w:tc>
          <w:tcPr>
            <w:tcW w:w="7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4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340" w:type="dxa"/>
            <w:vAlign w:val="bottom"/>
            <w:tcBorders>
              <w:bottom w:val="single" w:sz="8" w:color="auto"/>
            </w:tcBorders>
            <w:gridSpan w:val="2"/>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7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auto"/>
            </w:tcBorders>
            <w:gridSpan w:val="5"/>
          </w:tcPr>
          <w:p>
            <w:pPr>
              <w:spacing w:after="0"/>
              <w:rPr>
                <w:rFonts w:ascii="Times New Roman" w:cs="Times New Roman" w:eastAsia="Times New Roman" w:hAnsi="Times New Roman"/>
                <w:sz w:val="18"/>
                <w:szCs w:val="18"/>
                <w:color w:val="auto"/>
                <w:w w:val="99"/>
              </w:rPr>
            </w:pPr>
            <w:hyperlink r:id="rId77">
              <w:r>
                <w:rPr>
                  <w:rFonts w:ascii="Times New Roman" w:cs="Times New Roman" w:eastAsia="Times New Roman" w:hAnsi="Times New Roman"/>
                  <w:sz w:val="18"/>
                  <w:szCs w:val="18"/>
                  <w:color w:val="auto"/>
                  <w:w w:val="99"/>
                </w:rPr>
                <w:t>Amended and Restated Certificate of Incorporation.</w:t>
              </w:r>
            </w:hyperlink>
          </w:p>
        </w:tc>
        <w:tc>
          <w:tcPr>
            <w:tcW w:w="6240" w:type="dxa"/>
            <w:vAlign w:val="bottom"/>
            <w:gridSpan w:val="7"/>
          </w:tcPr>
          <w:p>
            <w:pPr>
              <w:spacing w:after="0"/>
              <w:rPr>
                <w:sz w:val="24"/>
                <w:szCs w:val="24"/>
                <w:color w:val="auto"/>
              </w:rPr>
            </w:pPr>
          </w:p>
        </w:tc>
      </w:tr>
      <w:tr>
        <w:trPr>
          <w:trHeight w:val="34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r:id="rId78">
              <w:r>
                <w:rPr>
                  <w:rFonts w:ascii="Times New Roman" w:cs="Times New Roman" w:eastAsia="Times New Roman" w:hAnsi="Times New Roman"/>
                  <w:sz w:val="18"/>
                  <w:szCs w:val="18"/>
                  <w:color w:val="auto"/>
                  <w:w w:val="99"/>
                </w:rPr>
                <w:t>Certificate of Amendment of the Amended and Restated Certificate of Incorporation</w:t>
              </w:r>
            </w:hyperlink>
          </w:p>
        </w:tc>
        <w:tc>
          <w:tcPr>
            <w:tcW w:w="3900" w:type="dxa"/>
            <w:vAlign w:val="bottom"/>
            <w:gridSpan w:val="5"/>
          </w:tcPr>
          <w:p>
            <w:pPr>
              <w:spacing w:after="0"/>
              <w:rPr>
                <w:sz w:val="24"/>
                <w:szCs w:val="24"/>
                <w:color w:val="auto"/>
              </w:rPr>
            </w:pPr>
          </w:p>
        </w:tc>
      </w:tr>
      <w:tr>
        <w:trPr>
          <w:trHeight w:val="34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9"/>
              </w:rPr>
            </w:pPr>
            <w:hyperlink r:id="rId79">
              <w:r>
                <w:rPr>
                  <w:rFonts w:ascii="Times New Roman" w:cs="Times New Roman" w:eastAsia="Times New Roman" w:hAnsi="Times New Roman"/>
                  <w:sz w:val="18"/>
                  <w:szCs w:val="18"/>
                  <w:color w:val="auto"/>
                  <w:w w:val="99"/>
                </w:rPr>
                <w:t>Amended and Restated Bylaws.</w:t>
              </w:r>
            </w:hyperlink>
          </w:p>
        </w:tc>
        <w:tc>
          <w:tcPr>
            <w:tcW w:w="7680" w:type="dxa"/>
            <w:vAlign w:val="bottom"/>
            <w:gridSpan w:val="9"/>
          </w:tcPr>
          <w:p>
            <w:pPr>
              <w:spacing w:after="0"/>
              <w:rPr>
                <w:sz w:val="24"/>
                <w:szCs w:val="24"/>
                <w:color w:val="auto"/>
              </w:rPr>
            </w:pPr>
          </w:p>
        </w:tc>
      </w:tr>
      <w:tr>
        <w:trPr>
          <w:trHeight w:val="34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President (Principal Executive Officer), pursuant to Section 302 of the Sarbanes-Oxley Act</w:t>
            </w:r>
          </w:p>
        </w:tc>
        <w:tc>
          <w:tcPr>
            <w:tcW w:w="18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2002 (filed herewith).</w:t>
            </w: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5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Interim Chief Financial Officer (Interim Principal Financial Officer), pursuant to Section 302 of the Sarbanes-Oxley Act</w:t>
            </w:r>
          </w:p>
        </w:tc>
        <w:tc>
          <w:tcPr>
            <w:tcW w:w="16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 2002 (filed herewith).</w:t>
            </w: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5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4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President (Principal Executive Officer) and Interim Chief Financial Officer (Interim</w:t>
            </w:r>
          </w:p>
        </w:tc>
        <w:tc>
          <w:tcPr>
            <w:tcW w:w="64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 Section 1350, as adopted pursuant to Section 906 of the Sarbanes-Oxley Act of 2002</w:t>
            </w: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(furnished herewith).</w:t>
            </w:r>
          </w:p>
        </w:tc>
        <w:tc>
          <w:tcPr>
            <w:tcW w:w="8260" w:type="dxa"/>
            <w:vAlign w:val="bottom"/>
            <w:tcBorders>
              <w:top w:val="single" w:sz="8" w:color="0000FF"/>
            </w:tcBorders>
            <w:gridSpan w:val="8"/>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36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6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p>
      <w:pPr>
        <w:spacing w:after="0" w:line="27" w:lineRule="exact"/>
        <w:rPr>
          <w:sz w:val="20"/>
          <w:szCs w:val="20"/>
          <w:color w:val="auto"/>
        </w:rPr>
      </w:pPr>
    </w:p>
    <w:p>
      <w:pPr>
        <w:ind w:left="260" w:right="320" w:hanging="252"/>
        <w:spacing w:after="0" w:line="250"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3.3 to the Company’s Registration Statement on Form S-1 (File No. 333-225104), filed with the Securities and Exchange Commission on May 22, 2018.</w:t>
      </w:r>
    </w:p>
    <w:p>
      <w:pPr>
        <w:ind w:left="260" w:right="960" w:hanging="252"/>
        <w:spacing w:after="0" w:line="250"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3.1 to the Company's Current Report on Form 8-K (File No. 001-38529), filed with the Securities and Exchange Commission on July 23, 2025.</w:t>
      </w:r>
    </w:p>
    <w:p>
      <w:pPr>
        <w:ind w:left="260" w:right="340" w:hanging="252"/>
        <w:spacing w:after="0" w:line="250"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Exhibit 3.4 to the Company's Registration Statement on Form S-1 (File No. 333-225104), filed with the Securities and Exchange Commission on May 22, 2018.</w:t>
      </w:r>
    </w:p>
    <w:p>
      <w:pPr>
        <w:spacing w:after="0" w:line="1" w:lineRule="exact"/>
        <w:rPr>
          <w:sz w:val="20"/>
          <w:szCs w:val="20"/>
          <w:color w:val="auto"/>
        </w:rPr>
      </w:pPr>
    </w:p>
    <w:p>
      <w:pPr>
        <w:ind w:left="180" w:right="140" w:hanging="172"/>
        <w:spacing w:after="0" w:line="265" w:lineRule="auto"/>
        <w:tabs>
          <w:tab w:leader="none" w:pos="1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w:t>
      </w:r>
    </w:p>
    <w:p>
      <w:pPr>
        <w:ind w:left="5540" w:right="3280" w:hanging="5363"/>
        <w:spacing w:after="0" w:line="226" w:lineRule="auto"/>
        <w:rPr>
          <w:sz w:val="20"/>
          <w:szCs w:val="20"/>
          <w:color w:val="auto"/>
        </w:rPr>
      </w:pPr>
      <w:r>
        <w:rPr>
          <w:rFonts w:ascii="Times New Roman" w:cs="Times New Roman" w:eastAsia="Times New Roman" w:hAnsi="Times New Roman"/>
          <w:sz w:val="18"/>
          <w:szCs w:val="18"/>
          <w:color w:val="auto"/>
        </w:rPr>
        <w:t>whether made before or after the date hereof, regardless of any general incorporation language in such filing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814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May 12, 2026</w:t>
            </w:r>
          </w:p>
        </w:tc>
        <w:tc>
          <w:tcPr>
            <w:tcW w:w="2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Jayson Rieger</w:t>
            </w:r>
          </w:p>
        </w:tc>
      </w:tr>
      <w:tr>
        <w:trPr>
          <w:trHeight w:val="27"/>
        </w:trPr>
        <w:tc>
          <w:tcPr>
            <w:tcW w:w="30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Jayson Rieger</w:t>
            </w:r>
          </w:p>
        </w:tc>
      </w:tr>
      <w:tr>
        <w:trPr>
          <w:trHeight w:val="270"/>
        </w:trPr>
        <w:tc>
          <w:tcPr>
            <w:tcW w:w="30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70"/>
        </w:trPr>
        <w:tc>
          <w:tcPr>
            <w:tcW w:w="30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080" w:type="dxa"/>
            <w:vAlign w:val="bottom"/>
          </w:tcPr>
          <w:p>
            <w:pPr>
              <w:spacing w:after="0"/>
              <w:rPr>
                <w:sz w:val="24"/>
                <w:szCs w:val="24"/>
                <w:color w:val="auto"/>
              </w:rPr>
            </w:pPr>
          </w:p>
        </w:tc>
        <w:tc>
          <w:tcPr>
            <w:tcW w:w="2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J. Kirby</w:t>
            </w:r>
          </w:p>
        </w:tc>
      </w:tr>
      <w:tr>
        <w:trPr>
          <w:trHeight w:val="27"/>
        </w:trPr>
        <w:tc>
          <w:tcPr>
            <w:tcW w:w="30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J. Kirby</w:t>
            </w:r>
          </w:p>
        </w:tc>
      </w:tr>
      <w:tr>
        <w:trPr>
          <w:trHeight w:val="270"/>
        </w:trPr>
        <w:tc>
          <w:tcPr>
            <w:tcW w:w="30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30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tc>
      </w:tr>
      <w:tr>
        <w:trPr>
          <w:trHeight w:val="283"/>
        </w:trPr>
        <w:tc>
          <w:tcPr>
            <w:tcW w:w="3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5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VERRICA PHARMACEUTICALS INC. CERTIFICATION OF PRINCIPAL EXECUTIVE OFFICER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Jayson Rieger, certify that:</w:t>
      </w:r>
    </w:p>
    <w:p>
      <w:pPr>
        <w:spacing w:after="0" w:line="185" w:lineRule="exact"/>
        <w:rPr>
          <w:sz w:val="20"/>
          <w:szCs w:val="20"/>
          <w:color w:val="auto"/>
        </w:rPr>
      </w:pPr>
    </w:p>
    <w:p>
      <w:pPr>
        <w:ind w:left="1140" w:right="980" w:hanging="1132"/>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Verrica Pharmaceuticals Inc. (the “registrant”);</w:t>
      </w:r>
    </w:p>
    <w:p>
      <w:pPr>
        <w:spacing w:after="0" w:line="121"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2280" w:right="20" w:hanging="1138"/>
        <w:spacing w:after="0" w:line="266" w:lineRule="auto"/>
        <w:tabs>
          <w:tab w:leader="none" w:pos="22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2280" w:hanging="1138"/>
        <w:spacing w:after="0" w:line="266" w:lineRule="auto"/>
        <w:tabs>
          <w:tab w:leader="none" w:pos="2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140" w:right="300" w:hanging="1132"/>
        <w:spacing w:after="0" w:line="26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Jayson 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Jayson Rieger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VERRICA PHARMACEUTICALS INC. CERTIFICATION OF INTERIM PRINCIPAL FINANCIAL OFFICER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Kirby, certify that:</w:t>
      </w:r>
    </w:p>
    <w:p>
      <w:pPr>
        <w:spacing w:after="0" w:line="185" w:lineRule="exact"/>
        <w:rPr>
          <w:sz w:val="20"/>
          <w:szCs w:val="20"/>
          <w:color w:val="auto"/>
        </w:rPr>
      </w:pPr>
    </w:p>
    <w:p>
      <w:pPr>
        <w:ind w:left="1140" w:right="980" w:hanging="1132"/>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Verrica Pharmaceuticals Inc. (the “registrant”);</w:t>
      </w:r>
    </w:p>
    <w:p>
      <w:pPr>
        <w:spacing w:after="0" w:line="121"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140" w:right="260" w:hanging="1132"/>
        <w:spacing w:after="0" w:line="276"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2280" w:right="20" w:hanging="1138"/>
        <w:spacing w:after="0" w:line="266"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2280" w:hanging="1138"/>
        <w:spacing w:after="0" w:line="266" w:lineRule="auto"/>
        <w:tabs>
          <w:tab w:leader="none" w:pos="2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140" w:right="300" w:hanging="1132"/>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John J.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John J. Kirby</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(Interim Principal Financial Officer)</w:t>
      </w:r>
    </w:p>
    <w:p>
      <w:pPr>
        <w:sectPr>
          <w:pgSz w:w="11900" w:h="16838" w:orient="portrait"/>
          <w:cols w:equalWidth="0" w:num="1">
            <w:col w:w="11240"/>
          </w:cols>
          <w:pgMar w:left="320" w:top="114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INTERIM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firstLine="1134"/>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Jayson Rieger, President and Chief Executive Officer of Verrica Pharmaceuticals Inc. (the “Company”), and John J. Kirby, Interim Chief Financial Officer of the Company, each hereby certifies that, to the best of his knowledge:</w:t>
      </w:r>
    </w:p>
    <w:p>
      <w:pPr>
        <w:spacing w:after="0" w:line="72" w:lineRule="exact"/>
        <w:rPr>
          <w:sz w:val="20"/>
          <w:szCs w:val="20"/>
          <w:color w:val="auto"/>
        </w:rPr>
      </w:pPr>
    </w:p>
    <w:p>
      <w:pPr>
        <w:ind w:left="2280" w:hanging="1138"/>
        <w:spacing w:after="0" w:line="266" w:lineRule="auto"/>
        <w:tabs>
          <w:tab w:leader="none" w:pos="22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b w:val="1"/>
          <w:bCs w:val="1"/>
          <w:color w:val="auto"/>
        </w:rPr>
      </w:pPr>
    </w:p>
    <w:p>
      <w:pPr>
        <w:ind w:left="2280" w:right="100" w:hanging="1138"/>
        <w:spacing w:after="0" w:line="282" w:lineRule="auto"/>
        <w:tabs>
          <w:tab w:leader="none" w:pos="22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 the undersigned have set their hands hereto as of the 12th day of May, 2026.</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Jayson Rieger</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J. Kirby</w:t>
            </w:r>
          </w:p>
        </w:tc>
      </w:tr>
      <w:tr>
        <w:trPr>
          <w:trHeight w:val="27"/>
        </w:trPr>
        <w:tc>
          <w:tcPr>
            <w:tcW w:w="532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Jayson Rieger</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J. Kirby</w:t>
            </w:r>
          </w:p>
        </w:tc>
      </w:tr>
      <w:tr>
        <w:trPr>
          <w:trHeight w:val="252"/>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spacing w:after="0" w:line="279" w:lineRule="exact"/>
        <w:rPr>
          <w:sz w:val="20"/>
          <w:szCs w:val="20"/>
          <w:color w:val="auto"/>
        </w:rPr>
      </w:pPr>
    </w:p>
    <w:p>
      <w:pPr>
        <w:jc w:val="both"/>
        <w:ind w:left="500" w:right="100" w:hanging="492"/>
        <w:spacing w:after="0" w:line="266"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decimal"/>
      <w:start w:val="102"/>
    </w:lvl>
  </w:abstractNum>
  <w:abstractNum w:abstractNumId="5">
    <w:nsid w:val="1190CDE7"/>
    <w:multiLevelType w:val="hybridMultilevel"/>
    <w:lvl w:ilvl="0">
      <w:lvlJc w:val="left"/>
      <w:lvlText w:val="%1)"/>
      <w:numFmt w:val="decimal"/>
      <w:start w:val="10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0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77" Type="http://schemas.openxmlformats.org/officeDocument/2006/relationships/hyperlink" Target="https://www.sec.gov/Archives/edgar/data/0001660334/000119312518170726/d361077dex33.htm" TargetMode="External"/><Relationship Id="rId78" Type="http://schemas.openxmlformats.org/officeDocument/2006/relationships/hyperlink" Target="https://www.sec.gov/Archives/edgar/data/1660334/000119312525162939/d30630dex31.htm" TargetMode="External"/><Relationship Id="rId79" Type="http://schemas.openxmlformats.org/officeDocument/2006/relationships/hyperlink" Target="https://www.sec.gov/Archives/edgar/data/0001660334/000119312518170726/d361077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2026-05-12T15:29:28Z</dcterms:created>
  <dcterms:modified xsi:type="dcterms:W3CDTF">2026-05-12T15:29:28Z</dcterms:modified>
</cp:coreProperties>
</file>