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Verrica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92511W207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92511W207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439,657.00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439,657.00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439,657.00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92511W207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439,657.00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439,657.00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439,657.00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Verrica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 NORTH HIGH STREET, SUITE 200, WEST CHESTER, PA, 19380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420"/>
        <w:spacing w:after="0" w:line="256"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92511W207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439,657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439,657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439,657 The percentage of Shares reported to be beneficially owned by the Reporting Persons are based on information from the Issuer.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47"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pacing w:after="0" w:line="45"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17, 2026 Armistice Capital, LLC By: /s/ Steven Boyd Steven Boyd - Managing Member Steven Boyd By: /s/ Steven Boyd</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2026-02-17T20:41:20Z</dcterms:created>
  <dcterms:modified xsi:type="dcterms:W3CDTF">2026-02-17T20:41:20Z</dcterms:modified>
</cp:coreProperties>
</file>