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Verrica Pharmaceuticals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001-38529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46-3137900</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spacing w:after="0" w:line="1"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7"/>
          <w:szCs w:val="17"/>
          <w:b w:val="1"/>
          <w:bCs w:val="1"/>
          <w:color w:val="auto"/>
        </w:rPr>
        <w:t>44 West Gay Street, Suite 400</w:t>
      </w:r>
    </w:p>
    <w:p>
      <w:pPr>
        <w:spacing w:after="0" w:line="43"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West Chester, PA</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19380</w:t>
      </w:r>
    </w:p>
    <w:p>
      <w:pPr>
        <w:spacing w:after="0" w:line="43"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54"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(484) 453-3300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Exchange Act of 1934:</w:t>
      </w:r>
    </w:p>
    <w:p>
      <w:pPr>
        <w:spacing w:after="0" w:line="220"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4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VRCA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66"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98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700" w:space="500"/>
            <w:col w:w="9780"/>
          </w:cols>
          <w:pgMar w:left="440" w:top="293" w:right="479" w:bottom="1440" w:gutter="0" w:footer="0" w:header="0"/>
        </w:sectPr>
      </w:pPr>
    </w:p>
    <w:p>
      <w:pPr>
        <w:ind w:right="280" w:firstLine="440"/>
        <w:spacing w:after="0" w:line="262" w:lineRule="auto"/>
        <w:rPr>
          <w:sz w:val="20"/>
          <w:szCs w:val="20"/>
          <w:color w:val="auto"/>
        </w:rPr>
      </w:pPr>
      <w:r>
        <w:rPr>
          <w:rFonts w:ascii="Times New Roman" w:cs="Times New Roman" w:eastAsia="Times New Roman" w:hAnsi="Times New Roman"/>
          <w:sz w:val="18"/>
          <w:szCs w:val="18"/>
          <w:color w:val="auto"/>
        </w:rPr>
        <w:t>As described in Item 5.07 below, on June 5, 2026, at the 2026 Annual Meeting of Stockholders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of Verrica Pharmaceuticals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Company’s stockholders approved the Verrica Pharmaceuticals, Inc. Amended and Restated 2018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The Plan was previously approved, subject to stockholder approval, by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the Company. The Plan became effective immediately upon stockholder approval at the Annual Meeting.</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 summary of the material terms of the Plan is set forth in the Company’s definitive proxy statement for the Annual Meeting filed with the Securities and Exchange Commission on April 20, 2026 (the “</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color w:val="auto"/>
        </w:rPr>
        <w:t>”) as Proposal 4, beginning on page 21, and is incorporated herein by reference. That summary and the foregoing description are qualified in their entirety by reference to the text of the Plan, which is filed as Exhibit 10.1 to this Current Report on Form 8-K and incorporated herein by reference.</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the Annual Meeting, the stockholders considered four proposals, each of which is described in more detail in the Company’s Proxy Statement.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17,178,786 shares outstanding as of the record date, 14,069,331 shares, or 81.89%, were present or represented by proxy at the Annual Meeting.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are the results of the matters submitted for a vote of stockholders at the Annual Meeting.</w:t>
      </w:r>
    </w:p>
    <w:p>
      <w:pPr>
        <w:spacing w:after="0" w:line="20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Proposal No. 1</w:t>
      </w:r>
      <w:r>
        <w:rPr>
          <w:rFonts w:ascii="Times New Roman" w:cs="Times New Roman" w:eastAsia="Times New Roman" w:hAnsi="Times New Roman"/>
          <w:sz w:val="18"/>
          <w:szCs w:val="18"/>
          <w:color w:val="auto"/>
        </w:rPr>
        <w:t>: Election of two nominees to serve as directors until the 2029 annual meeting of stockholders and until their respective successors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elected and qualified. The votes were cast as follows:</w:t>
      </w:r>
    </w:p>
    <w:p>
      <w:pPr>
        <w:spacing w:after="0" w:line="179" w:lineRule="exact"/>
        <w:rPr>
          <w:sz w:val="20"/>
          <w:szCs w:val="20"/>
          <w:color w:val="auto"/>
        </w:rPr>
      </w:pPr>
    </w:p>
    <w:tbl>
      <w:tblPr>
        <w:tblLayout w:type="fixed"/>
        <w:tblInd w:w="132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68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Votes Withheld</w:t>
            </w:r>
          </w:p>
        </w:tc>
      </w:tr>
      <w:tr>
        <w:trPr>
          <w:trHeight w:val="203"/>
        </w:trPr>
        <w:tc>
          <w:tcPr>
            <w:tcW w:w="60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Paul B. Manning</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11,543,142</w:t>
            </w:r>
          </w:p>
        </w:tc>
        <w:tc>
          <w:tcPr>
            <w:tcW w:w="4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70,060</w:t>
            </w:r>
          </w:p>
        </w:tc>
        <w:tc>
          <w:tcPr>
            <w:tcW w:w="40" w:type="dxa"/>
            <w:vAlign w:val="bottom"/>
            <w:tcBorders>
              <w:top w:val="single" w:sz="8" w:color="CCEEFF"/>
            </w:tcBorders>
            <w:shd w:val="clear" w:color="auto" w:fill="CCEEFF"/>
          </w:tcPr>
          <w:p>
            <w:pPr>
              <w:spacing w:after="0"/>
              <w:rPr>
                <w:sz w:val="17"/>
                <w:szCs w:val="17"/>
                <w:color w:val="auto"/>
              </w:rPr>
            </w:pPr>
          </w:p>
        </w:tc>
      </w:tr>
      <w:tr>
        <w:trPr>
          <w:trHeight w:val="234"/>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Lawrence Eichenfield</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11,523,540</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89,662</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 Non-Votes: 2,456,129.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nominees were elected.</w:t>
      </w:r>
    </w:p>
    <w:p>
      <w:pPr>
        <w:spacing w:after="0" w:line="221"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Proposal No. 2</w:t>
      </w:r>
      <w:r>
        <w:rPr>
          <w:rFonts w:ascii="Times New Roman" w:cs="Times New Roman" w:eastAsia="Times New Roman" w:hAnsi="Times New Roman"/>
          <w:sz w:val="18"/>
          <w:szCs w:val="18"/>
          <w:color w:val="auto"/>
        </w:rPr>
        <w:t>: Approval, on an advisory basis, of the compensation paid to the Company’s named executive officers, as disclosed in the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The votes were cast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86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Abstained</w:t>
            </w:r>
          </w:p>
        </w:tc>
      </w:tr>
      <w:tr>
        <w:trPr>
          <w:trHeight w:val="209"/>
        </w:trPr>
        <w:tc>
          <w:tcPr>
            <w:tcW w:w="88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Advisory approval of named executive officer compensation</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11,564,256</w:t>
            </w:r>
          </w:p>
        </w:tc>
        <w:tc>
          <w:tcPr>
            <w:tcW w:w="4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34,355</w:t>
            </w:r>
          </w:p>
        </w:tc>
        <w:tc>
          <w:tcPr>
            <w:tcW w:w="4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14,591</w:t>
            </w:r>
          </w:p>
        </w:tc>
        <w:tc>
          <w:tcPr>
            <w:tcW w:w="60" w:type="dxa"/>
            <w:vAlign w:val="bottom"/>
            <w:tcBorders>
              <w:top w:val="single" w:sz="8" w:color="CCEEFF"/>
            </w:tcBorders>
            <w:shd w:val="clear" w:color="auto" w:fill="CCEEFF"/>
          </w:tcPr>
          <w:p>
            <w:pPr>
              <w:spacing w:after="0"/>
              <w:rPr>
                <w:sz w:val="18"/>
                <w:szCs w:val="18"/>
                <w:color w:val="auto"/>
              </w:rPr>
            </w:pPr>
          </w:p>
        </w:tc>
      </w:tr>
      <w:tr>
        <w:trPr>
          <w:trHeight w:val="432"/>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Broker Non-Votes: 2,456,129.</w:t>
            </w: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19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Proposal No. 3</w:t>
      </w:r>
      <w:r>
        <w:rPr>
          <w:rFonts w:ascii="Times New Roman" w:cs="Times New Roman" w:eastAsia="Times New Roman" w:hAnsi="Times New Roman"/>
          <w:sz w:val="18"/>
          <w:szCs w:val="18"/>
          <w:color w:val="auto"/>
        </w:rPr>
        <w:t>: Ratification of the selection of KPMG LLP as independent registered public accounting firm for the fiscal year ending December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 The votes were cast as follows:</w:t>
      </w:r>
    </w:p>
    <w:p>
      <w:pPr>
        <w:spacing w:after="0" w:line="179"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86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Abstained</w:t>
            </w:r>
          </w:p>
        </w:tc>
      </w:tr>
      <w:tr>
        <w:trPr>
          <w:trHeight w:val="209"/>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Ratification of selection of KPMG LLP</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14,058,234</w:t>
            </w:r>
          </w:p>
        </w:tc>
        <w:tc>
          <w:tcPr>
            <w:tcW w:w="4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8,055</w:t>
            </w:r>
          </w:p>
        </w:tc>
        <w:tc>
          <w:tcPr>
            <w:tcW w:w="3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Proposal No. 4</w:t>
      </w:r>
      <w:r>
        <w:rPr>
          <w:rFonts w:ascii="Times New Roman" w:cs="Times New Roman" w:eastAsia="Times New Roman" w:hAnsi="Times New Roman"/>
          <w:sz w:val="18"/>
          <w:szCs w:val="18"/>
          <w:color w:val="auto"/>
        </w:rPr>
        <w:t>: Approval of the Company’s Amended and Restated 2018 Equity Incentive Plan in the form attached as Appendix A to the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The votes were cast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86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Abstained</w:t>
            </w:r>
          </w:p>
        </w:tc>
      </w:tr>
      <w:tr>
        <w:trPr>
          <w:trHeight w:val="210"/>
        </w:trPr>
        <w:tc>
          <w:tcPr>
            <w:tcW w:w="880" w:type="dxa"/>
            <w:vAlign w:val="bottom"/>
          </w:tcPr>
          <w:p>
            <w:pPr>
              <w:spacing w:after="0"/>
              <w:rPr>
                <w:sz w:val="18"/>
                <w:szCs w:val="18"/>
                <w:color w:val="auto"/>
              </w:rPr>
            </w:pPr>
          </w:p>
        </w:tc>
        <w:tc>
          <w:tcPr>
            <w:tcW w:w="6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Approval of the Company’s Amended and Restated 2018 Equity Incentive Plan</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11,142,881</w:t>
            </w: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433,852</w:t>
            </w: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36,469</w:t>
            </w:r>
          </w:p>
        </w:tc>
        <w:tc>
          <w:tcPr>
            <w:tcW w:w="60" w:type="dxa"/>
            <w:vAlign w:val="bottom"/>
            <w:tcBorders>
              <w:top w:val="single" w:sz="8" w:color="CCEEFF"/>
            </w:tcBorders>
            <w:shd w:val="clear" w:color="auto" w:fill="CCEEFF"/>
          </w:tcPr>
          <w:p>
            <w:pPr>
              <w:spacing w:after="0"/>
              <w:rPr>
                <w:sz w:val="18"/>
                <w:szCs w:val="18"/>
                <w:color w:val="auto"/>
              </w:rPr>
            </w:pPr>
          </w:p>
        </w:tc>
      </w:tr>
      <w:tr>
        <w:trPr>
          <w:trHeight w:val="432"/>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Broker Non-Votes: 2,456,129</w:t>
            </w: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980"/>
          </w:cols>
          <w:pgMar w:left="440" w:top="293" w:right="479" w:bottom="1440" w:gutter="0" w:footer="0" w:header="0"/>
          <w:type w:val="continuous"/>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44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12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73"/>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4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tcPr>
          <w:p>
            <w:pPr>
              <w:spacing w:after="0"/>
              <w:rPr>
                <w:sz w:val="24"/>
                <w:szCs w:val="24"/>
                <w:color w:val="auto"/>
              </w:rPr>
            </w:pPr>
          </w:p>
        </w:tc>
        <w:tc>
          <w:tcPr>
            <w:tcW w:w="37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Amended and Restated 2018 Equity Incentive Plan.</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(formatted as inline XBRL).</w:t>
            </w:r>
          </w:p>
        </w:tc>
        <w:tc>
          <w:tcPr>
            <w:tcW w:w="0" w:type="dxa"/>
            <w:vAlign w:val="bottom"/>
          </w:tcPr>
          <w:p>
            <w:pPr>
              <w:spacing w:after="0"/>
              <w:rPr>
                <w:sz w:val="1"/>
                <w:szCs w:val="1"/>
                <w:color w:val="auto"/>
              </w:rPr>
            </w:pPr>
          </w:p>
        </w:tc>
      </w:tr>
    </w:tbl>
    <w:p>
      <w:pPr>
        <w:sectPr>
          <w:pgSz w:w="11900" w:h="16838" w:orient="portrait"/>
          <w:cols w:equalWidth="0" w:num="1">
            <w:col w:w="10019"/>
          </w:cols>
          <w:pgMar w:left="440" w:top="293" w:right="1440"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Verrica Pharmaceuticals Inc.</w:t>
      </w:r>
    </w:p>
    <w:p>
      <w:pPr>
        <w:spacing w:after="0" w:line="229"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 June 9, 2026</w:t>
      </w:r>
      <w:r>
        <w:rPr>
          <w:sz w:val="20"/>
          <w:szCs w:val="20"/>
          <w:color w:val="auto"/>
        </w:rPr>
        <w:tab/>
      </w:r>
      <w:r>
        <w:rPr>
          <w:rFonts w:ascii="Times New Roman" w:cs="Times New Roman" w:eastAsia="Times New Roman" w:hAnsi="Times New Roman"/>
          <w:sz w:val="17"/>
          <w:szCs w:val="17"/>
          <w:color w:val="auto"/>
        </w:rPr>
        <w:t>/s/ John J. Kirby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John J. Kirby</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Interim Chief Financial Officer</w:t>
      </w:r>
    </w:p>
    <w:p>
      <w:pPr>
        <w:sectPr>
          <w:pgSz w:w="11900" w:h="16838" w:orient="portrait"/>
          <w:cols w:equalWidth="0" w:num="1">
            <w:col w:w="10700"/>
          </w:cols>
          <w:pgMar w:left="440" w:top="293"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ind w:left="3284"/>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2018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117" w:lineRule="exact"/>
        <w:rPr>
          <w:sz w:val="20"/>
          <w:szCs w:val="20"/>
          <w:color w:val="auto"/>
        </w:rPr>
      </w:pPr>
    </w:p>
    <w:p>
      <w:pPr>
        <w:ind w:left="3224"/>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DOPTED BY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M</w:t>
      </w:r>
      <w:r>
        <w:rPr>
          <w:rFonts w:ascii="Times New Roman" w:cs="Times New Roman" w:eastAsia="Times New Roman" w:hAnsi="Times New Roman"/>
          <w:sz w:val="14"/>
          <w:szCs w:val="14"/>
          <w:b w:val="1"/>
          <w:bCs w:val="1"/>
          <w:color w:val="auto"/>
        </w:rPr>
        <w:t>ARCH</w:t>
      </w:r>
      <w:r>
        <w:rPr>
          <w:rFonts w:ascii="Times New Roman" w:cs="Times New Roman" w:eastAsia="Times New Roman" w:hAnsi="Times New Roman"/>
          <w:sz w:val="18"/>
          <w:szCs w:val="18"/>
          <w:b w:val="1"/>
          <w:bCs w:val="1"/>
          <w:color w:val="auto"/>
        </w:rPr>
        <w:t xml:space="preserve"> 22, 2026</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PPROVED BY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TOCKHOLDERS</w:t>
      </w:r>
      <w:r>
        <w:rPr>
          <w:rFonts w:ascii="Times New Roman" w:cs="Times New Roman" w:eastAsia="Times New Roman" w:hAnsi="Times New Roman"/>
          <w:sz w:val="18"/>
          <w:szCs w:val="18"/>
          <w:b w:val="1"/>
          <w:bCs w:val="1"/>
          <w:color w:val="auto"/>
        </w:rPr>
        <w:t>: J</w:t>
      </w:r>
      <w:r>
        <w:rPr>
          <w:rFonts w:ascii="Times New Roman" w:cs="Times New Roman" w:eastAsia="Times New Roman" w:hAnsi="Times New Roman"/>
          <w:sz w:val="14"/>
          <w:szCs w:val="14"/>
          <w:b w:val="1"/>
          <w:bCs w:val="1"/>
          <w:color w:val="auto"/>
        </w:rPr>
        <w:t>UNE</w:t>
      </w:r>
      <w:r>
        <w:rPr>
          <w:rFonts w:ascii="Times New Roman" w:cs="Times New Roman" w:eastAsia="Times New Roman" w:hAnsi="Times New Roman"/>
          <w:sz w:val="18"/>
          <w:szCs w:val="18"/>
          <w:b w:val="1"/>
          <w:bCs w:val="1"/>
          <w:color w:val="auto"/>
        </w:rPr>
        <w:t xml:space="preserve"> 5, 2026</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FFECTIVE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ATE</w:t>
      </w:r>
      <w:r>
        <w:rPr>
          <w:rFonts w:ascii="Times New Roman" w:cs="Times New Roman" w:eastAsia="Times New Roman" w:hAnsi="Times New Roman"/>
          <w:sz w:val="18"/>
          <w:szCs w:val="18"/>
          <w:b w:val="1"/>
          <w:bCs w:val="1"/>
          <w:color w:val="auto"/>
        </w:rPr>
        <w:t>: J</w:t>
      </w:r>
      <w:r>
        <w:rPr>
          <w:rFonts w:ascii="Times New Roman" w:cs="Times New Roman" w:eastAsia="Times New Roman" w:hAnsi="Times New Roman"/>
          <w:sz w:val="14"/>
          <w:szCs w:val="14"/>
          <w:b w:val="1"/>
          <w:bCs w:val="1"/>
          <w:color w:val="auto"/>
        </w:rPr>
        <w:t>UNE</w:t>
      </w:r>
      <w:r>
        <w:rPr>
          <w:rFonts w:ascii="Times New Roman" w:cs="Times New Roman" w:eastAsia="Times New Roman" w:hAnsi="Times New Roman"/>
          <w:sz w:val="18"/>
          <w:szCs w:val="18"/>
          <w:b w:val="1"/>
          <w:bCs w:val="1"/>
          <w:color w:val="auto"/>
        </w:rPr>
        <w:t xml:space="preserve"> 5, 2026</w:t>
      </w:r>
    </w:p>
    <w:p>
      <w:pPr>
        <w:spacing w:after="0" w:line="230"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ENERAL</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jc w:val="both"/>
        <w:ind w:left="4" w:right="160" w:firstLine="436"/>
        <w:spacing w:after="0" w:line="268" w:lineRule="auto"/>
        <w:tabs>
          <w:tab w:leader="none" w:pos="699"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Successor to and Continuation of Prior Plan. </w:t>
      </w:r>
      <w:r>
        <w:rPr>
          <w:rFonts w:ascii="Times New Roman" w:cs="Times New Roman" w:eastAsia="Times New Roman" w:hAnsi="Times New Roman"/>
          <w:sz w:val="18"/>
          <w:szCs w:val="18"/>
          <w:color w:val="auto"/>
        </w:rPr>
        <w:t>The Plan was originally adopted by the Board on May 30, 2018, approved by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on June 1, 2018 and initially became effective as of the IPO Date. The Plan is intended as the successor to and continuation of the Verrica Pharmaceuticals Inc. 2013 Equity Incentive Plan (the “</w:t>
      </w:r>
      <w:r>
        <w:rPr>
          <w:rFonts w:ascii="Times New Roman" w:cs="Times New Roman" w:eastAsia="Times New Roman" w:hAnsi="Times New Roman"/>
          <w:sz w:val="18"/>
          <w:szCs w:val="18"/>
          <w:b w:val="1"/>
          <w:bCs w:val="1"/>
          <w:i w:val="1"/>
          <w:iCs w:val="1"/>
          <w:color w:val="auto"/>
        </w:rPr>
        <w:t>Prior Plan</w:t>
      </w:r>
      <w:r>
        <w:rPr>
          <w:rFonts w:ascii="Times New Roman" w:cs="Times New Roman" w:eastAsia="Times New Roman" w:hAnsi="Times New Roman"/>
          <w:sz w:val="18"/>
          <w:szCs w:val="18"/>
          <w:color w:val="auto"/>
        </w:rPr>
        <w:t>”) and is hereby amended and restated as of the Effective Date.</w:t>
      </w:r>
    </w:p>
    <w:p>
      <w:pPr>
        <w:spacing w:after="0" w:line="175" w:lineRule="exact"/>
        <w:rPr>
          <w:sz w:val="20"/>
          <w:szCs w:val="20"/>
          <w:color w:val="auto"/>
        </w:rPr>
      </w:pPr>
    </w:p>
    <w:p>
      <w:pPr>
        <w:ind w:left="1204" w:hanging="213"/>
        <w:spacing w:after="0"/>
        <w:tabs>
          <w:tab w:leader="none" w:pos="120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shares that were otherwise available for future grants under the Prior Plan as of 12:01 a.m. Eastern Time on the IPO Date (the</w:t>
      </w:r>
    </w:p>
    <w:p>
      <w:pPr>
        <w:spacing w:after="0" w:line="27" w:lineRule="exact"/>
        <w:rPr>
          <w:sz w:val="20"/>
          <w:szCs w:val="20"/>
          <w:color w:val="auto"/>
        </w:rPr>
      </w:pPr>
    </w:p>
    <w:p>
      <w:pPr>
        <w:jc w:val="both"/>
        <w:ind w:left="4" w:right="2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Plan’s Available Reserve</w:t>
      </w:r>
      <w:r>
        <w:rPr>
          <w:rFonts w:ascii="Times New Roman" w:cs="Times New Roman" w:eastAsia="Times New Roman" w:hAnsi="Times New Roman"/>
          <w:sz w:val="18"/>
          <w:szCs w:val="18"/>
          <w:color w:val="auto"/>
        </w:rPr>
        <w:t>”) ceased to be available under the Prior Plan at such time. Instead, that number of shares of Common Stock equal to the Prior Plan’s Available Reserve was added to the Share Reserve (as further described in Section 3(a) below) and was immediately available for grants and issuance pursuant to Stock Awards hereunder, up to the maximum number set forth in Section 3(a) below.</w:t>
      </w:r>
    </w:p>
    <w:p>
      <w:pPr>
        <w:spacing w:after="0" w:line="186" w:lineRule="exact"/>
        <w:rPr>
          <w:sz w:val="20"/>
          <w:szCs w:val="20"/>
          <w:color w:val="auto"/>
        </w:rPr>
      </w:pPr>
    </w:p>
    <w:p>
      <w:pPr>
        <w:ind w:left="4" w:right="60" w:firstLine="987"/>
        <w:spacing w:after="0" w:line="256" w:lineRule="auto"/>
        <w:tabs>
          <w:tab w:leader="none" w:pos="1260" w:val="left"/>
        </w:tabs>
        <w:numPr>
          <w:ilvl w:val="2"/>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from and after 12:01 a.m. Eastern Time on the IPO Date, any shares subject, at such time, to outstanding stock awards granted under the Prior Plan that (i) expire or terminate for any reason prior to exercise or settlement; (ii) are forfeited because of the failure to meet a contingency or condition required to vest such shares or otherwise return to the Company; or (iii) are reacquired, withheld (or not issued) to satisfy a tax withholding obligation in connection with an award or to satisfy the purchase price or exercise price of a stock award (such shares the “</w:t>
      </w:r>
      <w:r>
        <w:rPr>
          <w:rFonts w:ascii="Times New Roman" w:cs="Times New Roman" w:eastAsia="Times New Roman" w:hAnsi="Times New Roman"/>
          <w:sz w:val="18"/>
          <w:szCs w:val="18"/>
          <w:b w:val="1"/>
          <w:bCs w:val="1"/>
          <w:i w:val="1"/>
          <w:iCs w:val="1"/>
          <w:color w:val="auto"/>
        </w:rPr>
        <w:t>Returning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will immediately be added to the Share Reserve (as further described in Section 3(a) below) as and when such shares become Returning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up to the maximum number set forth in Section 3(a) below.</w:t>
      </w:r>
    </w:p>
    <w:p>
      <w:pPr>
        <w:spacing w:after="0" w:line="183"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Eligible Award Recipients. </w:t>
      </w:r>
      <w:r>
        <w:rPr>
          <w:rFonts w:ascii="Times New Roman" w:cs="Times New Roman" w:eastAsia="Times New Roman" w:hAnsi="Times New Roman"/>
          <w:sz w:val="18"/>
          <w:szCs w:val="18"/>
          <w:color w:val="auto"/>
        </w:rPr>
        <w:t>Employees, Directors and Consultants are eligible to receive Awards.</w:t>
      </w:r>
    </w:p>
    <w:p>
      <w:pPr>
        <w:spacing w:after="0" w:line="225" w:lineRule="exact"/>
        <w:rPr>
          <w:rFonts w:ascii="Times New Roman" w:cs="Times New Roman" w:eastAsia="Times New Roman" w:hAnsi="Times New Roman"/>
          <w:sz w:val="18"/>
          <w:szCs w:val="18"/>
          <w:b w:val="1"/>
          <w:bCs w:val="1"/>
          <w:color w:val="auto"/>
        </w:rPr>
      </w:pPr>
    </w:p>
    <w:p>
      <w:pPr>
        <w:ind w:left="4" w:right="440" w:firstLine="436"/>
        <w:spacing w:after="0" w:line="263" w:lineRule="auto"/>
        <w:tabs>
          <w:tab w:leader="none" w:pos="689"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Available Awards. </w:t>
      </w:r>
      <w:r>
        <w:rPr>
          <w:rFonts w:ascii="Times New Roman" w:cs="Times New Roman" w:eastAsia="Times New Roman" w:hAnsi="Times New Roman"/>
          <w:sz w:val="18"/>
          <w:szCs w:val="18"/>
          <w:color w:val="auto"/>
        </w:rPr>
        <w:t>The Plan provides for the grant of the following types of Awards: (i) Incentive Stock Options, (ii) Nonstatutory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(iii) Stock Appreciation Rights, (iv) Restricted Stock Awards, (v) Restricted Stock Unit Awards, (vi) Performance Stock Awards,</w:t>
      </w:r>
    </w:p>
    <w:p>
      <w:pPr>
        <w:ind w:left="364" w:hanging="364"/>
        <w:spacing w:after="0"/>
        <w:tabs>
          <w:tab w:leader="none" w:pos="3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Cash Awards, and (viii) Other Stock Awards.</w:t>
      </w:r>
    </w:p>
    <w:p>
      <w:pPr>
        <w:spacing w:after="0" w:line="202" w:lineRule="exact"/>
        <w:rPr>
          <w:rFonts w:ascii="Times New Roman" w:cs="Times New Roman" w:eastAsia="Times New Roman" w:hAnsi="Times New Roman"/>
          <w:sz w:val="18"/>
          <w:szCs w:val="18"/>
          <w:color w:val="auto"/>
        </w:rPr>
      </w:pPr>
    </w:p>
    <w:p>
      <w:pPr>
        <w:ind w:left="4" w:right="480" w:firstLine="436"/>
        <w:spacing w:after="0" w:line="268" w:lineRule="auto"/>
        <w:tabs>
          <w:tab w:leader="none" w:pos="709"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Purpose. </w:t>
      </w:r>
      <w:r>
        <w:rPr>
          <w:rFonts w:ascii="Times New Roman" w:cs="Times New Roman" w:eastAsia="Times New Roman" w:hAnsi="Times New Roman"/>
          <w:sz w:val="18"/>
          <w:szCs w:val="18"/>
          <w:color w:val="auto"/>
        </w:rPr>
        <w:t>The Plan, through the granting of Awards, is intended to help the Company secure and retain the services of eligible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recipients, provide incentives for such persons to exert maximum efforts for the success of the Company and any Affiliate and provide a means by which the eligible recipients may benefit from increases in value of the Common Stock.</w:t>
      </w:r>
    </w:p>
    <w:p>
      <w:pPr>
        <w:spacing w:after="0" w:line="319" w:lineRule="exact"/>
        <w:rPr>
          <w:sz w:val="20"/>
          <w:szCs w:val="20"/>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DMINISTRATION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4" w:right="660" w:firstLine="436"/>
        <w:spacing w:after="0" w:line="286" w:lineRule="auto"/>
        <w:tabs>
          <w:tab w:leader="none" w:pos="699"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Administration by Board. </w:t>
      </w:r>
      <w:r>
        <w:rPr>
          <w:rFonts w:ascii="Times New Roman" w:cs="Times New Roman" w:eastAsia="Times New Roman" w:hAnsi="Times New Roman"/>
          <w:sz w:val="18"/>
          <w:szCs w:val="18"/>
          <w:color w:val="auto"/>
        </w:rPr>
        <w:t>The Board will administer the Plan. The Board may delegate administration of the Plan to a Committee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Committees, as provided in Section 2(c).</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5" w:name="page6"/>
    <w:bookmarkEnd w:id="5"/>
    <w:p>
      <w:pPr>
        <w:ind w:left="704" w:hanging="264"/>
        <w:spacing w:after="0"/>
        <w:tabs>
          <w:tab w:leader="none" w:pos="704"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Powers of Board. </w:t>
      </w:r>
      <w:r>
        <w:rPr>
          <w:rFonts w:ascii="Times New Roman" w:cs="Times New Roman" w:eastAsia="Times New Roman" w:hAnsi="Times New Roman"/>
          <w:sz w:val="18"/>
          <w:szCs w:val="18"/>
          <w:color w:val="auto"/>
        </w:rPr>
        <w:t>The Board will have the power, subject to, and within the limitations of, the express provisions of the Plan:</w:t>
      </w:r>
    </w:p>
    <w:p>
      <w:pPr>
        <w:spacing w:after="0" w:line="121" w:lineRule="exact"/>
        <w:rPr>
          <w:rFonts w:ascii="Times New Roman" w:cs="Times New Roman" w:eastAsia="Times New Roman" w:hAnsi="Times New Roman"/>
          <w:sz w:val="18"/>
          <w:szCs w:val="18"/>
          <w:b w:val="1"/>
          <w:bCs w:val="1"/>
          <w:color w:val="auto"/>
        </w:rPr>
      </w:pPr>
    </w:p>
    <w:p>
      <w:pPr>
        <w:ind w:left="1204" w:hanging="213"/>
        <w:spacing w:after="0"/>
        <w:tabs>
          <w:tab w:leader="none" w:pos="1204" w:val="left"/>
        </w:tabs>
        <w:numPr>
          <w:ilvl w:val="2"/>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(A) who will be granted Awards; (B) when and how each Award will be granted; (C) what type of Award will be granted;</w:t>
      </w:r>
    </w:p>
    <w:p>
      <w:pPr>
        <w:spacing w:after="0" w:line="27" w:lineRule="exact"/>
        <w:rPr>
          <w:rFonts w:ascii="Times New Roman" w:cs="Times New Roman" w:eastAsia="Times New Roman" w:hAnsi="Times New Roman"/>
          <w:sz w:val="18"/>
          <w:szCs w:val="18"/>
          <w:b w:val="1"/>
          <w:bCs w:val="1"/>
          <w:color w:val="auto"/>
        </w:rPr>
      </w:pPr>
    </w:p>
    <w:p>
      <w:pPr>
        <w:ind w:left="304" w:hanging="304"/>
        <w:spacing w:after="0"/>
        <w:tabs>
          <w:tab w:leader="none" w:pos="30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each Award (which need not be identical), including when a person will be permitted to exercise or otherwise receive cash or</w:t>
      </w:r>
    </w:p>
    <w:p>
      <w:pPr>
        <w:spacing w:after="0" w:line="9" w:lineRule="exact"/>
        <w:rPr>
          <w:rFonts w:ascii="Times New Roman" w:cs="Times New Roman" w:eastAsia="Times New Roman" w:hAnsi="Times New Roman"/>
          <w:sz w:val="18"/>
          <w:szCs w:val="18"/>
          <w:color w:val="auto"/>
        </w:rPr>
      </w:pPr>
    </w:p>
    <w:p>
      <w:pPr>
        <w:ind w:left="4" w:right="1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under the Award; (E) the number of shares of Common Stock subject to, or the cash value of, an Award; and (F) the Fair Market Value applicable to a Stock Award.</w:t>
      </w:r>
    </w:p>
    <w:p>
      <w:pPr>
        <w:spacing w:after="0" w:line="181" w:lineRule="exact"/>
        <w:rPr>
          <w:rFonts w:ascii="Times New Roman" w:cs="Times New Roman" w:eastAsia="Times New Roman" w:hAnsi="Times New Roman"/>
          <w:sz w:val="18"/>
          <w:szCs w:val="18"/>
          <w:color w:val="auto"/>
        </w:rPr>
      </w:pPr>
    </w:p>
    <w:p>
      <w:pPr>
        <w:ind w:left="4" w:right="160" w:firstLine="987"/>
        <w:spacing w:after="0" w:line="261" w:lineRule="auto"/>
        <w:tabs>
          <w:tab w:leader="none" w:pos="1260" w:val="left"/>
        </w:tabs>
        <w:numPr>
          <w:ilvl w:val="2"/>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construe and interpret the Plan and Awards granted under it, and to establish, amend and revoke rules and regulations for administration of the Plan and Awards. The Board, in the exercise of these powers, may correct any defect, omission or inconsistency in the Plan or in any Award Agreement or in the written terms of a Performance Cash Award, in a manner and to the extent it will deem necessary or expedient to make the Plan or Award fully effective.</w:t>
      </w:r>
    </w:p>
    <w:p>
      <w:pPr>
        <w:spacing w:after="0" w:line="179" w:lineRule="exact"/>
        <w:rPr>
          <w:rFonts w:ascii="Times New Roman" w:cs="Times New Roman" w:eastAsia="Times New Roman" w:hAnsi="Times New Roman"/>
          <w:sz w:val="18"/>
          <w:szCs w:val="18"/>
          <w:b w:val="1"/>
          <w:bCs w:val="1"/>
          <w:color w:val="auto"/>
        </w:rPr>
      </w:pPr>
    </w:p>
    <w:p>
      <w:pPr>
        <w:ind w:left="1304" w:hanging="313"/>
        <w:spacing w:after="0"/>
        <w:tabs>
          <w:tab w:leader="none" w:pos="1304" w:val="left"/>
        </w:tabs>
        <w:numPr>
          <w:ilvl w:val="2"/>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settle all controversies regarding the Plan and Awards granted under it.</w:t>
      </w:r>
    </w:p>
    <w:p>
      <w:pPr>
        <w:spacing w:after="0" w:line="225" w:lineRule="exact"/>
        <w:rPr>
          <w:rFonts w:ascii="Times New Roman" w:cs="Times New Roman" w:eastAsia="Times New Roman" w:hAnsi="Times New Roman"/>
          <w:sz w:val="18"/>
          <w:szCs w:val="18"/>
          <w:b w:val="1"/>
          <w:bCs w:val="1"/>
          <w:color w:val="auto"/>
        </w:rPr>
      </w:pPr>
    </w:p>
    <w:p>
      <w:pPr>
        <w:ind w:left="4" w:right="680" w:firstLine="987"/>
        <w:spacing w:after="0" w:line="282" w:lineRule="auto"/>
        <w:tabs>
          <w:tab w:leader="none" w:pos="1300" w:val="left"/>
        </w:tabs>
        <w:numPr>
          <w:ilvl w:val="2"/>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accelerate, in whole or in part, the time at which an Award may be exercised or vest (or the time at which cash or shares of Common Stock may be issued in settlement thereof).</w:t>
      </w:r>
    </w:p>
    <w:p>
      <w:pPr>
        <w:spacing w:after="0" w:line="161" w:lineRule="exact"/>
        <w:rPr>
          <w:rFonts w:ascii="Times New Roman" w:cs="Times New Roman" w:eastAsia="Times New Roman" w:hAnsi="Times New Roman"/>
          <w:sz w:val="18"/>
          <w:szCs w:val="18"/>
          <w:b w:val="1"/>
          <w:bCs w:val="1"/>
          <w:color w:val="auto"/>
        </w:rPr>
      </w:pPr>
    </w:p>
    <w:p>
      <w:pPr>
        <w:ind w:left="4" w:right="160" w:firstLine="987"/>
        <w:spacing w:after="0" w:line="266" w:lineRule="auto"/>
        <w:tabs>
          <w:tab w:leader="none" w:pos="1250" w:val="left"/>
        </w:tabs>
        <w:numPr>
          <w:ilvl w:val="2"/>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suspend or terminate the Plan at any time. Except as otherwise provided in the Plan or an Award Agreement, suspension or termination of the Plan will not materially impair a Participant’s rights under the Participant’s then-outstanding Award without the Participant’s written consent except as provided in subsection (viii) below.</w:t>
      </w:r>
    </w:p>
    <w:p>
      <w:pPr>
        <w:spacing w:after="0" w:line="175" w:lineRule="exact"/>
        <w:rPr>
          <w:rFonts w:ascii="Times New Roman" w:cs="Times New Roman" w:eastAsia="Times New Roman" w:hAnsi="Times New Roman"/>
          <w:sz w:val="18"/>
          <w:szCs w:val="18"/>
          <w:b w:val="1"/>
          <w:bCs w:val="1"/>
          <w:color w:val="auto"/>
        </w:rPr>
      </w:pPr>
    </w:p>
    <w:p>
      <w:pPr>
        <w:ind w:left="4" w:right="40" w:firstLine="987"/>
        <w:spacing w:after="0" w:line="268" w:lineRule="auto"/>
        <w:tabs>
          <w:tab w:leader="none" w:pos="1300" w:val="left"/>
        </w:tabs>
        <w:numPr>
          <w:ilvl w:val="2"/>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amend the Plan in any respect the Board deems necessary or advisable, including, without limitation, by adopting amendments relating to Incentive Stock Options and certain nonqualified deferred compensation under Section 409A of the Code and/or bringing the Plan or Awards granted under the Plan into compliance with the requirements for Incentive Stock Options or ensuring that they are exempt from or compliant with the requirements for nonqualified deferred compensation under Section 409A of the Code, subject to the limitations, if any, of applicable law. If required by applicable law or listing requirements, and except as provided in Section 9(a) relating to Capitalization Adjustments, the Company will seek stockholder approval of any amendment of the Plan that (A) materially increases the number of shares of Common Stock available for issuance under the Plan,</w:t>
      </w:r>
    </w:p>
    <w:p>
      <w:pPr>
        <w:spacing w:after="0" w:line="4" w:lineRule="exact"/>
        <w:rPr>
          <w:rFonts w:ascii="Times New Roman" w:cs="Times New Roman" w:eastAsia="Times New Roman" w:hAnsi="Times New Roman"/>
          <w:sz w:val="17"/>
          <w:szCs w:val="17"/>
          <w:b w:val="1"/>
          <w:bCs w:val="1"/>
          <w:color w:val="auto"/>
        </w:rPr>
      </w:pPr>
    </w:p>
    <w:p>
      <w:pPr>
        <w:ind w:left="4" w:right="20" w:hanging="4"/>
        <w:spacing w:after="0" w:line="253" w:lineRule="auto"/>
        <w:tabs>
          <w:tab w:leader="none" w:pos="28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expands the class of individuals eligible to receive Awards under the Plan, (C) materially increases the benefits accruing to Participants under the Plan, (D) materially reduces the price at which shares of Common Stock may be issued or purchased under the Plan, (E) materially extends the term of the Plan, or (F) materially expands the types of Awards available for issuance under the Plan. Except as otherwise provided in the Plan or an Award Agreement, no amendment of the Plan will materially impair a Participant’s rights under an outstanding Award without the Participant’s written consent.</w:t>
      </w:r>
    </w:p>
    <w:p>
      <w:pPr>
        <w:spacing w:after="0" w:line="186" w:lineRule="exact"/>
        <w:rPr>
          <w:rFonts w:ascii="Times New Roman" w:cs="Times New Roman" w:eastAsia="Times New Roman" w:hAnsi="Times New Roman"/>
          <w:sz w:val="18"/>
          <w:szCs w:val="18"/>
          <w:color w:val="auto"/>
        </w:rPr>
      </w:pPr>
    </w:p>
    <w:p>
      <w:pPr>
        <w:ind w:left="4" w:right="380" w:firstLine="987"/>
        <w:spacing w:after="0" w:line="282" w:lineRule="auto"/>
        <w:tabs>
          <w:tab w:leader="none" w:pos="1350" w:val="left"/>
        </w:tabs>
        <w:numPr>
          <w:ilvl w:val="2"/>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submit any amendment to the Plan for stockholder approval, including, but not limited to, amendments to the Plan intended to satisfy the requirements of (A) Section 422 of the Code regarding incentive stock options or (B) Rule 16b-3.</w:t>
      </w:r>
    </w:p>
    <w:p>
      <w:pPr>
        <w:spacing w:after="0" w:line="161" w:lineRule="exact"/>
        <w:rPr>
          <w:rFonts w:ascii="Times New Roman" w:cs="Times New Roman" w:eastAsia="Times New Roman" w:hAnsi="Times New Roman"/>
          <w:sz w:val="18"/>
          <w:szCs w:val="18"/>
          <w:b w:val="1"/>
          <w:bCs w:val="1"/>
          <w:color w:val="auto"/>
        </w:rPr>
      </w:pPr>
    </w:p>
    <w:p>
      <w:pPr>
        <w:ind w:left="4" w:firstLine="987"/>
        <w:spacing w:after="0" w:line="258" w:lineRule="auto"/>
        <w:tabs>
          <w:tab w:leader="none" w:pos="1400" w:val="left"/>
        </w:tabs>
        <w:numPr>
          <w:ilvl w:val="2"/>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 Participant’s rights under any Award will not be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66" w:right="439" w:bottom="1440" w:gutter="0" w:footer="0" w:header="0"/>
        </w:sectPr>
      </w:pPr>
    </w:p>
    <w:bookmarkStart w:id="6" w:name="page7"/>
    <w:bookmarkEnd w:id="6"/>
    <w:p>
      <w:pPr>
        <w:ind w:left="4"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sole discretion, determines that the amendment, taken as a whole, does not materially impair the Participant’s rights, and (2) subject to the limitations of applicable law, if any, the Board may amend the terms of any one or more Awards without the affected Participant’s consent (A) to maintain the qualified status of the Award as an Incentive Stock Option under Section 422 of the Code; (B) to change the terms of an Incentive Stock Option, if such change results in impairment of the Award solely because it impairs the qualified status of the Award as an Incentive Stock Option under Section 422 of the Code; (C) to clarify the manner of exemption from, or to bring the Award into compliance with, Section 409A of the Code; or (D) to comply with other applicable laws or listing requirements.</w:t>
      </w:r>
    </w:p>
    <w:p>
      <w:pPr>
        <w:spacing w:after="0" w:line="187" w:lineRule="exact"/>
        <w:rPr>
          <w:sz w:val="20"/>
          <w:szCs w:val="20"/>
          <w:color w:val="auto"/>
        </w:rPr>
      </w:pPr>
    </w:p>
    <w:p>
      <w:pPr>
        <w:ind w:left="4" w:firstLine="987"/>
        <w:spacing w:after="0" w:line="282" w:lineRule="auto"/>
        <w:tabs>
          <w:tab w:leader="none" w:pos="1300" w:val="left"/>
        </w:tabs>
        <w:numPr>
          <w:ilvl w:val="2"/>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61" w:lineRule="exact"/>
        <w:rPr>
          <w:rFonts w:ascii="Times New Roman" w:cs="Times New Roman" w:eastAsia="Times New Roman" w:hAnsi="Times New Roman"/>
          <w:sz w:val="18"/>
          <w:szCs w:val="18"/>
          <w:b w:val="1"/>
          <w:bCs w:val="1"/>
          <w:color w:val="auto"/>
        </w:rPr>
      </w:pPr>
    </w:p>
    <w:p>
      <w:pPr>
        <w:ind w:left="4" w:right="120" w:firstLine="987"/>
        <w:spacing w:after="0" w:line="266" w:lineRule="auto"/>
        <w:tabs>
          <w:tab w:leader="none" w:pos="1250" w:val="left"/>
        </w:tabs>
        <w:numPr>
          <w:ilvl w:val="2"/>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adopt such procedures and sub-plans as are necessary or appropriate to permit participation in the Plan by Employees, Directors or Consultants who are foreign nationals or employed outside the United States (provided that Board approval will not be necessary for immaterial modifications to the Plan or any Award Agreement that are required for compliance with the laws of the relevant foreign jurisdiction).</w:t>
      </w:r>
    </w:p>
    <w:p>
      <w:pPr>
        <w:spacing w:after="0" w:line="175" w:lineRule="exact"/>
        <w:rPr>
          <w:rFonts w:ascii="Times New Roman" w:cs="Times New Roman" w:eastAsia="Times New Roman" w:hAnsi="Times New Roman"/>
          <w:sz w:val="18"/>
          <w:szCs w:val="18"/>
          <w:b w:val="1"/>
          <w:bCs w:val="1"/>
          <w:color w:val="auto"/>
        </w:rPr>
      </w:pPr>
    </w:p>
    <w:p>
      <w:pPr>
        <w:ind w:left="4" w:right="420" w:firstLine="987"/>
        <w:spacing w:after="0" w:line="276" w:lineRule="auto"/>
        <w:tabs>
          <w:tab w:leader="none" w:pos="1300" w:val="left"/>
        </w:tabs>
        <w:numPr>
          <w:ilvl w:val="2"/>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effect, with the consent of any adversely affected Participant, (A) the reduction of the exercise, purchase or strike price of any outstanding Stock Award; (B) the cancellation of any outstanding Stock Award and the grant in substitution therefor of a new (1) Option or SAR,</w:t>
      </w:r>
    </w:p>
    <w:p>
      <w:pPr>
        <w:ind w:left="4" w:hanging="4"/>
        <w:spacing w:after="0" w:line="253" w:lineRule="auto"/>
        <w:tabs>
          <w:tab w:leader="none" w:pos="25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 (3) Restricted Stock Unit Award, (4) Other Stock Award, (5) cash and/or (6) other valuable consideration determined by the Board, in its sole discretion, with any such substituted award (x) covering the same or a different number of shares of Common Stock as the cancelled Stock Award and (y) granted under the Plan or another equity or compensatory plan of the Company; or (C) any other action that is treated as a repricing under generally accepted accounting principles.</w:t>
      </w:r>
    </w:p>
    <w:p>
      <w:pPr>
        <w:spacing w:after="0" w:line="184"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to Committee.</w:t>
      </w:r>
    </w:p>
    <w:p>
      <w:pPr>
        <w:spacing w:after="0" w:line="225" w:lineRule="exact"/>
        <w:rPr>
          <w:rFonts w:ascii="Times New Roman" w:cs="Times New Roman" w:eastAsia="Times New Roman" w:hAnsi="Times New Roman"/>
          <w:sz w:val="18"/>
          <w:szCs w:val="18"/>
          <w:b w:val="1"/>
          <w:bCs w:val="1"/>
          <w:color w:val="auto"/>
        </w:rPr>
      </w:pPr>
    </w:p>
    <w:p>
      <w:pPr>
        <w:ind w:left="4" w:right="20" w:firstLine="987"/>
        <w:spacing w:after="0" w:line="255" w:lineRule="auto"/>
        <w:tabs>
          <w:tab w:leader="none" w:pos="1210" w:val="left"/>
        </w:tabs>
        <w:numPr>
          <w:ilvl w:val="2"/>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Board may delegate some or all of the administration of the Plan to a Committee or Committees. If administration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is 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to the Committee or subcommittee, as applicable). Any delegation of administrative powers will be reflected in resolutions, not inconsistent with the provisions of the Plan, adopted from time to time by the Board or Committee (as applicable). The Committee may, at any time, abolish the subcommittee and/or revest in the Committee any powers delegated to the subcommittee. The Board may retain the authority to concurrently administer the Plan with the Committee and may, at any time, revest in the Board some or all of the powers previously delegated.</w:t>
      </w:r>
    </w:p>
    <w:p>
      <w:pPr>
        <w:spacing w:after="0" w:line="184" w:lineRule="exact"/>
        <w:rPr>
          <w:rFonts w:ascii="Times New Roman" w:cs="Times New Roman" w:eastAsia="Times New Roman" w:hAnsi="Times New Roman"/>
          <w:sz w:val="18"/>
          <w:szCs w:val="18"/>
          <w:b w:val="1"/>
          <w:bCs w:val="1"/>
          <w:color w:val="auto"/>
        </w:rPr>
      </w:pPr>
    </w:p>
    <w:p>
      <w:pPr>
        <w:ind w:left="1264" w:hanging="273"/>
        <w:spacing w:after="0"/>
        <w:tabs>
          <w:tab w:leader="none" w:pos="1264" w:val="left"/>
        </w:tabs>
        <w:numPr>
          <w:ilvl w:val="2"/>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Rule 16b-3 Compliance. </w:t>
      </w:r>
      <w:r>
        <w:rPr>
          <w:rFonts w:ascii="Times New Roman" w:cs="Times New Roman" w:eastAsia="Times New Roman" w:hAnsi="Times New Roman"/>
          <w:sz w:val="18"/>
          <w:szCs w:val="18"/>
          <w:color w:val="auto"/>
        </w:rPr>
        <w:t>The Committee may consist solely of two or more Non-Employee Directors, in accordance with Rule 16b-3.</w:t>
      </w:r>
    </w:p>
    <w:p>
      <w:pPr>
        <w:spacing w:after="0" w:line="225" w:lineRule="exact"/>
        <w:rPr>
          <w:rFonts w:ascii="Times New Roman" w:cs="Times New Roman" w:eastAsia="Times New Roman" w:hAnsi="Times New Roman"/>
          <w:sz w:val="18"/>
          <w:szCs w:val="18"/>
          <w:b w:val="1"/>
          <w:bCs w:val="1"/>
          <w:color w:val="auto"/>
        </w:rPr>
      </w:pPr>
    </w:p>
    <w:p>
      <w:pPr>
        <w:ind w:left="4" w:right="360" w:firstLine="436"/>
        <w:spacing w:after="0" w:line="259" w:lineRule="auto"/>
        <w:tabs>
          <w:tab w:leader="none" w:pos="709"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Delegation to Other Person or Body. </w:t>
      </w:r>
      <w:r>
        <w:rPr>
          <w:rFonts w:ascii="Times New Roman" w:cs="Times New Roman" w:eastAsia="Times New Roman" w:hAnsi="Times New Roman"/>
          <w:sz w:val="18"/>
          <w:szCs w:val="18"/>
          <w:color w:val="auto"/>
        </w:rPr>
        <w:t>The Board may delegate to one or more persons or bodies the authority to do one or more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following to the extent permitted by applicable law: (i) designate recipients, other than Officers, of Awards, provided that no person or body may be delegated authority to grant an Award to themselves; (ii) determine the number of shares of Common Stock subject to such Stock Awards; and (iii) determine the terms of such Awards;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Board or any Committee action regarding such delegation will fix the terms of such delegation in accordance with applicable law, including without limitation Sections 152 and 157 of the Delaware General Corporation</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7" w:name="page8"/>
    <w:bookmarkEnd w:id="7"/>
    <w:p>
      <w:pPr>
        <w:ind w:left="4"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Law. Unless provided otherwise in the Board or Committee action regarding such delegation, each Award granted pursuant to this section will be granted on the form of Stock Award Agreement most recently approved for use by the Committee or the Board, with any modifications necessary to incorporate or reflect the terms of such Award. Notwithstanding anything to the contrary herein, neither the Board nor any Committee may delegate to any person or body (who is not a Director or that is not comprised solely of Directors, respectively) the authority to determine the Fair Market Value pursuant to Section 13(y)(ii) below.</w:t>
      </w:r>
    </w:p>
    <w:p>
      <w:pPr>
        <w:spacing w:after="0" w:line="179" w:lineRule="exact"/>
        <w:rPr>
          <w:sz w:val="20"/>
          <w:szCs w:val="20"/>
          <w:color w:val="auto"/>
        </w:rPr>
      </w:pPr>
    </w:p>
    <w:p>
      <w:pPr>
        <w:ind w:left="4" w:right="500" w:firstLine="436"/>
        <w:spacing w:after="0" w:line="286" w:lineRule="auto"/>
        <w:tabs>
          <w:tab w:leader="none" w:pos="689"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of Board’s Decision. </w:t>
      </w:r>
      <w:r>
        <w:rPr>
          <w:rFonts w:ascii="Times New Roman" w:cs="Times New Roman" w:eastAsia="Times New Roman" w:hAnsi="Times New Roman"/>
          <w:sz w:val="18"/>
          <w:szCs w:val="18"/>
          <w:color w:val="auto"/>
        </w:rPr>
        <w:t>All determinations, interpretations and constructions made by the Board in good faith will not be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review by any person and will be final, binding and conclusive on all persons.</w:t>
      </w:r>
    </w:p>
    <w:p>
      <w:pPr>
        <w:spacing w:after="0" w:line="303"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HARES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UBJECT TO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4" w:right="140" w:firstLine="436"/>
        <w:spacing w:after="0" w:line="262" w:lineRule="auto"/>
        <w:tabs>
          <w:tab w:leader="none" w:pos="699"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Reserve. </w:t>
      </w:r>
      <w:r>
        <w:rPr>
          <w:rFonts w:ascii="Times New Roman" w:cs="Times New Roman" w:eastAsia="Times New Roman" w:hAnsi="Times New Roman"/>
          <w:sz w:val="18"/>
          <w:szCs w:val="18"/>
          <w:color w:val="auto"/>
        </w:rPr>
        <w:t>Subject to Section 9(a) relating to Capitalization Adjustments, and the following sentence regarding the annual increase,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number of shares of Common Stock that may be issued pursuant to Stock Awards will not exceed 4,000,000 shares (the “</w:t>
      </w:r>
      <w:r>
        <w:rPr>
          <w:rFonts w:ascii="Times New Roman" w:cs="Times New Roman" w:eastAsia="Times New Roman" w:hAnsi="Times New Roman"/>
          <w:sz w:val="18"/>
          <w:szCs w:val="18"/>
          <w:b w:val="1"/>
          <w:bCs w:val="1"/>
          <w:i w:val="1"/>
          <w:iCs w:val="1"/>
          <w:color w:val="auto"/>
        </w:rPr>
        <w:t>Share Reserve</w:t>
      </w:r>
      <w:r>
        <w:rPr>
          <w:rFonts w:ascii="Times New Roman" w:cs="Times New Roman" w:eastAsia="Times New Roman" w:hAnsi="Times New Roman"/>
          <w:sz w:val="18"/>
          <w:szCs w:val="18"/>
          <w:color w:val="auto"/>
        </w:rPr>
        <w:t xml:space="preserve">”), which number is the sum of (i) 1,756,257 new shares,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number of shares subject to the Prior Plan’s Available Reserve,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(iii) the number of shares that are Returning Shares, as such shares become available from time to time.</w:t>
      </w:r>
    </w:p>
    <w:p>
      <w:pPr>
        <w:spacing w:after="0" w:line="180" w:lineRule="exact"/>
        <w:rPr>
          <w:sz w:val="20"/>
          <w:szCs w:val="20"/>
          <w:color w:val="auto"/>
        </w:rPr>
      </w:pPr>
    </w:p>
    <w:p>
      <w:pPr>
        <w:ind w:left="4"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In addition, the Share Reserve will automatically increase on January 1 of each year, for a period of not more than ten years, commencing on January 1, 2027 and ending on (and including) January 1, 2036, in an amount equal to 5.0% of the total number of shares of Capital Stock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total number of shares of Common Stock issuable upon settlement of pre-funded warrants (if any), in each case, outstanding on December 31 of the preceding calendar year. Notwithstanding the foregoing, the Board may act prior to January 1 of a given year to provide that there will be no January 1 increase in the Share Reserve for such year or that the increase in the Share Reserve for such year will be a lesser number of shares of Common Stock than would otherwise occur pursuant to the preceding sentence.</w:t>
      </w:r>
    </w:p>
    <w:p>
      <w:pPr>
        <w:spacing w:after="0" w:line="187"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The Share Reserve in this Section 3(a) is a limitation on the number of shares of Common Stock that may be issued pursuant to the Plan. Accordingly, this Section 3(a) does not limit the granting of Stock Awards except as provided in Section 7(a). Shares may be issued in connection with a merger or acquisition as permitted by NASDAQ Listing Rule 5635(c) or, if applicable, NYSE Listed Company Manual Section 303A.08, AMEX Company Guide Section 711 or other applicable rule, and such issuance will not reduce the number of shares available for issuance under the Plan.</w:t>
      </w:r>
    </w:p>
    <w:p>
      <w:pPr>
        <w:spacing w:after="0" w:line="176" w:lineRule="exact"/>
        <w:rPr>
          <w:sz w:val="20"/>
          <w:szCs w:val="20"/>
          <w:color w:val="auto"/>
        </w:rPr>
      </w:pPr>
    </w:p>
    <w:p>
      <w:pPr>
        <w:ind w:left="4" w:firstLine="436"/>
        <w:spacing w:after="0" w:line="256" w:lineRule="auto"/>
        <w:tabs>
          <w:tab w:leader="none" w:pos="709"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Reversion of Shares to the Share Reserve. </w:t>
      </w:r>
      <w:r>
        <w:rPr>
          <w:rFonts w:ascii="Times New Roman" w:cs="Times New Roman" w:eastAsia="Times New Roman" w:hAnsi="Times New Roman"/>
          <w:sz w:val="18"/>
          <w:szCs w:val="18"/>
          <w:color w:val="auto"/>
        </w:rPr>
        <w:t>If a Stock Award or any portion thereof (i) expires or otherwise terminates without all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covered by such Stock Award having been issued or (ii) is settled in cash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Participant receives cash rather than stock), such expiration, termination or settlement will not reduce (or otherwise offset) the number of shares of Common Stock that may be available for issuance under the Plan. If any shares of Common Stock issued pursuant to a Stock Award are forfeited back to or repurchased by the Company because of the failure to meet a contingency or condition required to vest such shares in the Participant, then the shares that are forfeited or repurchased will revert to and again become available for issuance under the Plan. Any shares reacquired by the Company in satisfaction of tax withholding obligations on a Stock Award or as consideration for the exercise or purchase price of a Stock Award will again become available for issuance under the Plan.</w:t>
      </w:r>
    </w:p>
    <w:p>
      <w:pPr>
        <w:spacing w:after="0" w:line="11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4"/>
          </w:cols>
          <w:pgMar w:left="436" w:top="270" w:right="479" w:bottom="1440" w:gutter="0" w:footer="0" w:header="0"/>
        </w:sectPr>
      </w:pPr>
    </w:p>
    <w:bookmarkStart w:id="8" w:name="page9"/>
    <w:bookmarkEnd w:id="8"/>
    <w:p>
      <w:pPr>
        <w:ind w:left="4" w:firstLine="436"/>
        <w:spacing w:after="0" w:line="317" w:lineRule="auto"/>
        <w:tabs>
          <w:tab w:leader="none" w:pos="689" w:val="left"/>
        </w:tabs>
        <w:numPr>
          <w:ilvl w:val="1"/>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Incentive Stock Option Limit. </w:t>
      </w:r>
      <w:r>
        <w:rPr>
          <w:rFonts w:ascii="Times New Roman" w:cs="Times New Roman" w:eastAsia="Times New Roman" w:hAnsi="Times New Roman"/>
          <w:sz w:val="17"/>
          <w:szCs w:val="17"/>
          <w:color w:val="auto"/>
        </w:rPr>
        <w:t>Subject to the Share Reserve and Section 9(a) relating to Capitalization Adjustments, the aggregate maximum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number of shares of Common Stock that may be issued pursuant to the exercise of Incentive Stock Options will be 12,000,000 shares of Common Stock.</w:t>
      </w:r>
    </w:p>
    <w:p>
      <w:pPr>
        <w:spacing w:after="0" w:line="131" w:lineRule="exact"/>
        <w:rPr>
          <w:rFonts w:ascii="Times New Roman" w:cs="Times New Roman" w:eastAsia="Times New Roman" w:hAnsi="Times New Roman"/>
          <w:sz w:val="17"/>
          <w:szCs w:val="17"/>
          <w:b w:val="1"/>
          <w:bCs w:val="1"/>
          <w:color w:val="auto"/>
        </w:rPr>
      </w:pPr>
    </w:p>
    <w:p>
      <w:pPr>
        <w:ind w:left="4" w:firstLine="436"/>
        <w:spacing w:after="0" w:line="257" w:lineRule="auto"/>
        <w:tabs>
          <w:tab w:leader="none" w:pos="709"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 on Grants to Non-Employee Directors. </w:t>
      </w:r>
      <w:r>
        <w:rPr>
          <w:rFonts w:ascii="Times New Roman" w:cs="Times New Roman" w:eastAsia="Times New Roman" w:hAnsi="Times New Roman"/>
          <w:sz w:val="18"/>
          <w:szCs w:val="18"/>
          <w:color w:val="auto"/>
        </w:rPr>
        <w:t>The maximum number of shares of Common Stock subject to Stock Awards granted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Plan or otherwise during a single calendar year to any Non-Employee Director, taken together with any cash fees paid by the Company to such Non-Employee Director during such calendar year for service on the Board, will not exceed six hundred thousand dollars ($600,000) in total value (calculating the value of any such Stock Awards based on the grant date fair value of such Stock Awards for financial reporting purposes), or, with respect to the calendar year in which a Non-Employee Director is first appointed or elected to the Board, one million, one hundred thousand dollars ($1,100,000).</w:t>
      </w:r>
    </w:p>
    <w:p>
      <w:pPr>
        <w:spacing w:after="0" w:line="182" w:lineRule="exact"/>
        <w:rPr>
          <w:rFonts w:ascii="Times New Roman" w:cs="Times New Roman" w:eastAsia="Times New Roman" w:hAnsi="Times New Roman"/>
          <w:sz w:val="18"/>
          <w:szCs w:val="18"/>
          <w:b w:val="1"/>
          <w:bCs w:val="1"/>
          <w:color w:val="auto"/>
        </w:rPr>
      </w:pPr>
    </w:p>
    <w:p>
      <w:pPr>
        <w:ind w:left="4" w:right="120" w:firstLine="436"/>
        <w:spacing w:after="0" w:line="286" w:lineRule="auto"/>
        <w:tabs>
          <w:tab w:leader="none" w:pos="689"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Shares. </w:t>
      </w:r>
      <w:r>
        <w:rPr>
          <w:rFonts w:ascii="Times New Roman" w:cs="Times New Roman" w:eastAsia="Times New Roman" w:hAnsi="Times New Roman"/>
          <w:sz w:val="18"/>
          <w:szCs w:val="18"/>
          <w:color w:val="auto"/>
        </w:rPr>
        <w:t>The stock issuable under the Plan will be shares of authorized but unissued or reacquired Common Stock, including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repurchased by the Company on the open market or otherwise.</w:t>
      </w:r>
    </w:p>
    <w:p>
      <w:pPr>
        <w:spacing w:after="0" w:line="303"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LIGIBILITY</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4" w:right="120" w:firstLine="436"/>
        <w:spacing w:after="0" w:line="272" w:lineRule="auto"/>
        <w:tabs>
          <w:tab w:leader="none" w:pos="699" w:val="left"/>
        </w:tabs>
        <w:numPr>
          <w:ilvl w:val="1"/>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Eligibility for Specific Stock Awards</w:t>
      </w:r>
      <w:r>
        <w:rPr>
          <w:rFonts w:ascii="Times New Roman" w:cs="Times New Roman" w:eastAsia="Times New Roman" w:hAnsi="Times New Roman"/>
          <w:sz w:val="17"/>
          <w:szCs w:val="17"/>
          <w:color w:val="auto"/>
        </w:rPr>
        <w:t>. Incentive Stock Options may be granted only to employees of the Company or a “parent corporation”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“subsidiary corporation” thereof (as such terms are defined in Sections 424(e) and 424(f) of the Code). Stock Awards other than Incentive Stock Options may be granted to Employees, Directors and Consultants; provided, however, that Stock Awards may not be granted to Employees, Directors and Consultants who are providing Continuous Service only to any “parent” of the Company, as such term is defined in Rule 405 of the Securities Act, unless (i) the stock underlying such Stock Awards is treated as “service recipient stock” under Section 409A of the Code (for example, because the Stock Awards are granted pursuant to a Corporate Transaction such as a spin off transaction), (ii) the Company, in consultation with its legal counsel, has determined that such Stock Awards are otherwise exempt from Section 409A of the Code, or (iii) the Company, in consultation with its legal counsel, has determined that such Stock Awards comply with the distribution requirements of Section 409A of the Code.</w:t>
      </w:r>
    </w:p>
    <w:p>
      <w:pPr>
        <w:spacing w:after="0" w:line="171" w:lineRule="exact"/>
        <w:rPr>
          <w:rFonts w:ascii="Times New Roman" w:cs="Times New Roman" w:eastAsia="Times New Roman" w:hAnsi="Times New Roman"/>
          <w:sz w:val="17"/>
          <w:szCs w:val="17"/>
          <w:b w:val="1"/>
          <w:bCs w:val="1"/>
          <w:color w:val="auto"/>
        </w:rPr>
      </w:pPr>
    </w:p>
    <w:p>
      <w:pPr>
        <w:ind w:left="4" w:right="60" w:firstLine="436"/>
        <w:spacing w:after="0" w:line="317" w:lineRule="auto"/>
        <w:tabs>
          <w:tab w:leader="none" w:pos="709" w:val="left"/>
        </w:tabs>
        <w:numPr>
          <w:ilvl w:val="1"/>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Ten Percent Stockholders. </w:t>
      </w:r>
      <w:r>
        <w:rPr>
          <w:rFonts w:ascii="Times New Roman" w:cs="Times New Roman" w:eastAsia="Times New Roman" w:hAnsi="Times New Roman"/>
          <w:sz w:val="17"/>
          <w:szCs w:val="17"/>
          <w:color w:val="auto"/>
        </w:rPr>
        <w:t>A Ten Percent Stockholder will not be granted an Incentive Stock Option unless the exercise price of such Option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is at least 110% of the Fair Market Value on the date of grant and the Option is not exercisable after the expiration of five years from the date of grant.</w:t>
      </w:r>
    </w:p>
    <w:p>
      <w:pPr>
        <w:spacing w:after="0" w:line="280" w:lineRule="exact"/>
        <w:rPr>
          <w:rFonts w:ascii="Times New Roman" w:cs="Times New Roman" w:eastAsia="Times New Roman" w:hAnsi="Times New Roman"/>
          <w:sz w:val="17"/>
          <w:szCs w:val="17"/>
          <w:b w:val="1"/>
          <w:bCs w:val="1"/>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ROVISIONS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ELATING TO</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Each Option or SAR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 shares of Common Stock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each Award Agreement will conform to (through incorporation of provisions hereof by reference in the applicable Award Agreement or otherwise) the substance of each of the following provisions:</w:t>
      </w:r>
    </w:p>
    <w:p>
      <w:pPr>
        <w:spacing w:after="0" w:line="77" w:lineRule="exact"/>
        <w:rPr>
          <w:sz w:val="20"/>
          <w:szCs w:val="20"/>
          <w:color w:val="auto"/>
        </w:rPr>
      </w:pPr>
    </w:p>
    <w:p>
      <w:pPr>
        <w:ind w:left="4" w:right="60" w:firstLine="436"/>
        <w:spacing w:after="0" w:line="286" w:lineRule="auto"/>
        <w:tabs>
          <w:tab w:leader="none" w:pos="699"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Subject to the provisions of Section 4(b) regarding Ten Percent Stockholders, no Option or SAR will be exercisable after the expiration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ten (10) years from the date of its grant or such shorter period specified in the Award Agreement.</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66" w:right="459" w:bottom="1440" w:gutter="0" w:footer="0" w:header="0"/>
        </w:sectPr>
      </w:pPr>
    </w:p>
    <w:bookmarkStart w:id="9" w:name="page10"/>
    <w:bookmarkEnd w:id="9"/>
    <w:p>
      <w:pPr>
        <w:ind w:right="40" w:firstLine="436"/>
        <w:spacing w:after="0" w:line="257" w:lineRule="auto"/>
        <w:tabs>
          <w:tab w:leader="none" w:pos="705"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Exercise Price. </w:t>
      </w:r>
      <w:r>
        <w:rPr>
          <w:rFonts w:ascii="Times New Roman" w:cs="Times New Roman" w:eastAsia="Times New Roman" w:hAnsi="Times New Roman"/>
          <w:sz w:val="18"/>
          <w:szCs w:val="18"/>
          <w:color w:val="auto"/>
        </w:rPr>
        <w:t>Subject to the provisions of Section 4(b) regarding Ten Percent Stockholders, the exercise or strike price of each Option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SAR will be not less than 100% of the Fair Market Value of the Common Stock subject to the Option or SAR on the date the Award is granted. Notwithstanding the foregoing, an Option or SAR may be granted with an exercise or strike price lower than 100% of the Fair Market Value of the Common Stock subject to the Award if such Award is granted pursuant to an assumption of or substitution for another option or stock appreciation right pursuant to a Corporate Transaction and in a manner consistent with the provisions of Section 409A of the Code and, if applicable, Section 424(a) of the Code. Each SAR will be denominated in shares of Common Stock equivalents.</w:t>
      </w:r>
    </w:p>
    <w:p>
      <w:pPr>
        <w:spacing w:after="0" w:line="182" w:lineRule="exact"/>
        <w:rPr>
          <w:rFonts w:ascii="Times New Roman" w:cs="Times New Roman" w:eastAsia="Times New Roman" w:hAnsi="Times New Roman"/>
          <w:sz w:val="18"/>
          <w:szCs w:val="18"/>
          <w:b w:val="1"/>
          <w:bCs w:val="1"/>
          <w:color w:val="auto"/>
        </w:rPr>
      </w:pPr>
    </w:p>
    <w:p>
      <w:pPr>
        <w:jc w:val="both"/>
        <w:ind w:right="40" w:firstLine="436"/>
        <w:spacing w:after="0" w:line="259" w:lineRule="auto"/>
        <w:tabs>
          <w:tab w:leader="none" w:pos="685"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Purchase Price for Options. </w:t>
      </w:r>
      <w:r>
        <w:rPr>
          <w:rFonts w:ascii="Times New Roman" w:cs="Times New Roman" w:eastAsia="Times New Roman" w:hAnsi="Times New Roman"/>
          <w:sz w:val="18"/>
          <w:szCs w:val="18"/>
          <w:color w:val="auto"/>
        </w:rPr>
        <w:t>The purchase price of Common Stock acquired pursuant to the exercise of an Option may be paid,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by applicable law and as determined by the Board in its sole discretion, by any combination of the methods of payment set forth below. The Board will have the authority to grant Options that do not permit all of the following methods of payment (or otherwise restrict the ability to use certain methods) and to grant Options that require the consent of the Company to use a particular method of payment. The permitted methods of payment are as follows:</w:t>
      </w:r>
    </w:p>
    <w:p>
      <w:pPr>
        <w:spacing w:after="0" w:line="75" w:lineRule="exact"/>
        <w:rPr>
          <w:rFonts w:ascii="Times New Roman" w:cs="Times New Roman" w:eastAsia="Times New Roman" w:hAnsi="Times New Roman"/>
          <w:sz w:val="18"/>
          <w:szCs w:val="18"/>
          <w:b w:val="1"/>
          <w:bCs w:val="1"/>
          <w:color w:val="auto"/>
        </w:rPr>
      </w:pPr>
    </w:p>
    <w:p>
      <w:pPr>
        <w:ind w:left="1200" w:hanging="213"/>
        <w:spacing w:after="0"/>
        <w:tabs>
          <w:tab w:leader="none" w:pos="1200"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cash, check, bank draft or money order payable to the Company;</w:t>
      </w:r>
    </w:p>
    <w:p>
      <w:pPr>
        <w:spacing w:after="0" w:line="225" w:lineRule="exact"/>
        <w:rPr>
          <w:rFonts w:ascii="Times New Roman" w:cs="Times New Roman" w:eastAsia="Times New Roman" w:hAnsi="Times New Roman"/>
          <w:sz w:val="18"/>
          <w:szCs w:val="18"/>
          <w:b w:val="1"/>
          <w:bCs w:val="1"/>
          <w:color w:val="auto"/>
        </w:rPr>
      </w:pPr>
    </w:p>
    <w:p>
      <w:pPr>
        <w:ind w:right="80" w:firstLine="987"/>
        <w:spacing w:after="0" w:line="266" w:lineRule="auto"/>
        <w:tabs>
          <w:tab w:leader="none" w:pos="1256"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a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w:t>
      </w:r>
    </w:p>
    <w:p>
      <w:pPr>
        <w:spacing w:after="0" w:line="175" w:lineRule="exact"/>
        <w:rPr>
          <w:rFonts w:ascii="Times New Roman" w:cs="Times New Roman" w:eastAsia="Times New Roman" w:hAnsi="Times New Roman"/>
          <w:sz w:val="18"/>
          <w:szCs w:val="18"/>
          <w:b w:val="1"/>
          <w:bCs w:val="1"/>
          <w:color w:val="auto"/>
        </w:rPr>
      </w:pPr>
    </w:p>
    <w:p>
      <w:pPr>
        <w:ind w:left="1300" w:hanging="313"/>
        <w:spacing w:after="0"/>
        <w:tabs>
          <w:tab w:leader="none" w:pos="1300"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delivery to the Company (either by actual delivery or attestation) of shares of Common Stock;</w:t>
      </w:r>
    </w:p>
    <w:p>
      <w:pPr>
        <w:spacing w:after="0" w:line="225" w:lineRule="exact"/>
        <w:rPr>
          <w:rFonts w:ascii="Times New Roman" w:cs="Times New Roman" w:eastAsia="Times New Roman" w:hAnsi="Times New Roman"/>
          <w:sz w:val="18"/>
          <w:szCs w:val="18"/>
          <w:b w:val="1"/>
          <w:bCs w:val="1"/>
          <w:color w:val="auto"/>
        </w:rPr>
      </w:pPr>
    </w:p>
    <w:p>
      <w:pPr>
        <w:ind w:right="40" w:firstLine="987"/>
        <w:spacing w:after="0" w:line="255" w:lineRule="auto"/>
        <w:tabs>
          <w:tab w:leader="none" w:pos="1296"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an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will accept a cash or other payment from the Participant to the extent of any remaining balance of the aggregate exercise price not satisfied by such reduction in the number of whole shares to be issued. Shares of Common Stock will no longer be subject to an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 or</w:t>
      </w:r>
    </w:p>
    <w:p>
      <w:pPr>
        <w:spacing w:after="0" w:line="188" w:lineRule="exact"/>
        <w:rPr>
          <w:rFonts w:ascii="Times New Roman" w:cs="Times New Roman" w:eastAsia="Times New Roman" w:hAnsi="Times New Roman"/>
          <w:sz w:val="18"/>
          <w:szCs w:val="18"/>
          <w:b w:val="1"/>
          <w:bCs w:val="1"/>
          <w:color w:val="auto"/>
        </w:rPr>
      </w:pPr>
    </w:p>
    <w:p>
      <w:pPr>
        <w:ind w:left="1240" w:hanging="253"/>
        <w:spacing w:after="0"/>
        <w:tabs>
          <w:tab w:leader="none" w:pos="1240"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any other form of legal consideration that may be acceptable to the Board and specified in the applicable Award Agreement.</w:t>
      </w:r>
    </w:p>
    <w:p>
      <w:pPr>
        <w:spacing w:after="0" w:line="221" w:lineRule="exact"/>
        <w:rPr>
          <w:rFonts w:ascii="Times New Roman" w:cs="Times New Roman" w:eastAsia="Times New Roman" w:hAnsi="Times New Roman"/>
          <w:sz w:val="18"/>
          <w:szCs w:val="18"/>
          <w:b w:val="1"/>
          <w:bCs w:val="1"/>
          <w:color w:val="auto"/>
        </w:rPr>
      </w:pPr>
    </w:p>
    <w:p>
      <w:pPr>
        <w:ind w:firstLine="436"/>
        <w:spacing w:after="0" w:line="273" w:lineRule="auto"/>
        <w:tabs>
          <w:tab w:leader="none" w:pos="705"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Exercise and Payment of a SAR. </w:t>
      </w:r>
      <w:r>
        <w:rPr>
          <w:rFonts w:ascii="Times New Roman" w:cs="Times New Roman" w:eastAsia="Times New Roman" w:hAnsi="Times New Roman"/>
          <w:sz w:val="17"/>
          <w:szCs w:val="17"/>
          <w:color w:val="auto"/>
        </w:rPr>
        <w:t>To exercise any outstanding SAR, the Participant must provide written notice of exercise to the Company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compliance with the provisions of the Stock Appreciation Right Agreement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Award Agreement evidencing such SAR.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10" w:name="page11"/>
    <w:bookmarkEnd w:id="10"/>
    <w:p>
      <w:pPr>
        <w:ind w:firstLine="436"/>
        <w:spacing w:after="0" w:line="268" w:lineRule="auto"/>
        <w:tabs>
          <w:tab w:leader="none" w:pos="685"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Transferability of Options and SARs. </w:t>
      </w:r>
      <w:r>
        <w:rPr>
          <w:rFonts w:ascii="Times New Roman" w:cs="Times New Roman" w:eastAsia="Times New Roman" w:hAnsi="Times New Roman"/>
          <w:sz w:val="18"/>
          <w:szCs w:val="18"/>
          <w:color w:val="auto"/>
        </w:rPr>
        <w:t>The Board may, in its sole discretion, impose such limitations on the transferability of Options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SARs as the Board will determine. In the absence of such a determination by the Board to the contrary, the following restrictions on the transferability of Options and SARs will apply:</w:t>
      </w:r>
    </w:p>
    <w:p>
      <w:pPr>
        <w:spacing w:after="0" w:line="62" w:lineRule="exact"/>
        <w:rPr>
          <w:rFonts w:ascii="Times New Roman" w:cs="Times New Roman" w:eastAsia="Times New Roman" w:hAnsi="Times New Roman"/>
          <w:sz w:val="18"/>
          <w:szCs w:val="18"/>
          <w:b w:val="1"/>
          <w:bCs w:val="1"/>
          <w:color w:val="auto"/>
        </w:rPr>
      </w:pPr>
    </w:p>
    <w:p>
      <w:pPr>
        <w:ind w:right="80" w:firstLine="987"/>
        <w:spacing w:after="0" w:line="262" w:lineRule="auto"/>
        <w:tabs>
          <w:tab w:leader="none" w:pos="1206"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Restrictions on Transfer</w:t>
      </w:r>
      <w:r>
        <w:rPr>
          <w:rFonts w:ascii="Times New Roman" w:cs="Times New Roman" w:eastAsia="Times New Roman" w:hAnsi="Times New Roman"/>
          <w:sz w:val="18"/>
          <w:szCs w:val="18"/>
          <w:color w:val="auto"/>
        </w:rPr>
        <w:t>. An Option or SAR will not be transferable except by will or by the laws of descent and distribution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subsections (ii) and (iii) below), and will be exercisable during the lifetime of the Participant only by the Participant. The Board may permit transfer of the Option or SAR in a manner that is not prohibited by applicable tax and securities laws. Except as explicitly provided herein, neither an Option nor a SAR may be transferred for consideration.</w:t>
      </w:r>
    </w:p>
    <w:p>
      <w:pPr>
        <w:spacing w:after="0" w:line="176" w:lineRule="exact"/>
        <w:rPr>
          <w:rFonts w:ascii="Times New Roman" w:cs="Times New Roman" w:eastAsia="Times New Roman" w:hAnsi="Times New Roman"/>
          <w:sz w:val="18"/>
          <w:szCs w:val="18"/>
          <w:b w:val="1"/>
          <w:bCs w:val="1"/>
          <w:color w:val="auto"/>
        </w:rPr>
      </w:pPr>
    </w:p>
    <w:p>
      <w:pPr>
        <w:ind w:right="20" w:firstLine="987"/>
        <w:spacing w:after="0" w:line="262" w:lineRule="auto"/>
        <w:tabs>
          <w:tab w:leader="none" w:pos="1256"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Domestic Relations Orders</w:t>
      </w:r>
      <w:r>
        <w:rPr>
          <w:rFonts w:ascii="Times New Roman" w:cs="Times New Roman" w:eastAsia="Times New Roman" w:hAnsi="Times New Roman"/>
          <w:sz w:val="18"/>
          <w:szCs w:val="18"/>
          <w:color w:val="auto"/>
        </w:rPr>
        <w:t>. Subject to the approval of the Board or a duly authorized Officer, an Option or SAR may be transferred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terms of a domestic relations order, official marital settlement agreement or other divorce or separation instrument as permitted by Treasury Regulation Section 1.421-1(b)(2). If an Option is an Incentive Stock Option, such Option may be deemed to be a Nonstatutory Stock Option as a result of such transfer.</w:t>
      </w:r>
    </w:p>
    <w:p>
      <w:pPr>
        <w:spacing w:after="0" w:line="176" w:lineRule="exact"/>
        <w:rPr>
          <w:rFonts w:ascii="Times New Roman" w:cs="Times New Roman" w:eastAsia="Times New Roman" w:hAnsi="Times New Roman"/>
          <w:sz w:val="18"/>
          <w:szCs w:val="18"/>
          <w:b w:val="1"/>
          <w:bCs w:val="1"/>
          <w:color w:val="auto"/>
        </w:rPr>
      </w:pPr>
    </w:p>
    <w:p>
      <w:pPr>
        <w:ind w:right="60" w:firstLine="987"/>
        <w:spacing w:after="0" w:line="256" w:lineRule="auto"/>
        <w:tabs>
          <w:tab w:leader="none" w:pos="1306"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Beneficiary Designation</w:t>
      </w:r>
      <w:r>
        <w:rPr>
          <w:rFonts w:ascii="Times New Roman" w:cs="Times New Roman" w:eastAsia="Times New Roman" w:hAnsi="Times New Roman"/>
          <w:sz w:val="18"/>
          <w:szCs w:val="18"/>
          <w:color w:val="auto"/>
        </w:rPr>
        <w:t>. Subject to the approval of the Board or a duly authorized Officer, a Participant may, by delivering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to the Company, in a form approved by the Company (or the designated broker), designate a third party who, on the death of the Participant, will thereafter be entitled to exercise the Option or SAR and receive the Common Stock or other consideration resulting from such exercise. In the absence of such a designation, upon the death of the Participant,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spacing w:after="0" w:line="182" w:lineRule="exact"/>
        <w:rPr>
          <w:rFonts w:ascii="Times New Roman" w:cs="Times New Roman" w:eastAsia="Times New Roman" w:hAnsi="Times New Roman"/>
          <w:sz w:val="18"/>
          <w:szCs w:val="18"/>
          <w:b w:val="1"/>
          <w:bCs w:val="1"/>
          <w:color w:val="auto"/>
        </w:rPr>
      </w:pPr>
    </w:p>
    <w:p>
      <w:pPr>
        <w:ind w:right="180" w:firstLine="436"/>
        <w:spacing w:after="0" w:line="259" w:lineRule="auto"/>
        <w:tabs>
          <w:tab w:leader="none" w:pos="665"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Generally. </w:t>
      </w:r>
      <w:r>
        <w:rPr>
          <w:rFonts w:ascii="Times New Roman" w:cs="Times New Roman" w:eastAsia="Times New Roman" w:hAnsi="Times New Roman"/>
          <w:sz w:val="18"/>
          <w:szCs w:val="18"/>
          <w:color w:val="auto"/>
        </w:rPr>
        <w:t>The total number of shares of Common Stock subject to an Option or SAR may vest and become exercisable in periodic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spacing w:after="0" w:line="179" w:lineRule="exact"/>
        <w:rPr>
          <w:rFonts w:ascii="Times New Roman" w:cs="Times New Roman" w:eastAsia="Times New Roman" w:hAnsi="Times New Roman"/>
          <w:sz w:val="18"/>
          <w:szCs w:val="18"/>
          <w:b w:val="1"/>
          <w:bCs w:val="1"/>
          <w:color w:val="auto"/>
        </w:rPr>
      </w:pPr>
    </w:p>
    <w:p>
      <w:pPr>
        <w:ind w:right="20" w:firstLine="436"/>
        <w:spacing w:after="0" w:line="256" w:lineRule="auto"/>
        <w:tabs>
          <w:tab w:leader="none" w:pos="695"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w:t>
      </w:r>
      <w:r>
        <w:rPr>
          <w:rFonts w:ascii="Times New Roman" w:cs="Times New Roman" w:eastAsia="Times New Roman" w:hAnsi="Times New Roman"/>
          <w:sz w:val="18"/>
          <w:szCs w:val="18"/>
          <w:color w:val="auto"/>
        </w:rPr>
        <w:t>Except as otherwise provided in the applicable Award Agreement or other agreement between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and the Company, if a Participant’s Continuous Service terminates (other than for Cause and other than upon the Participant’s death or Disability), the Participant may exercise his or her Option or SAR (to the extent that the Participant was entitled to exercise such Award as of the date of termination of Continuous Service) within the period of time ending on the earlier of (i) the date that is three (3) months following the termination of the Participant’s Continuous Service (or such longer or shorter period specified in the applicable Award Agreement) and (ii) the expiration of the term of the Option or SAR as set forth in the Award Agreement. If, after termination of Continuous Service, the Participant does not exercise his or her Option or SAR (as applicable) within the applicable time frame, the Option or SAR will terminate.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11" w:name="page12"/>
    <w:bookmarkEnd w:id="11"/>
    <w:p>
      <w:pPr>
        <w:ind w:firstLine="436"/>
        <w:spacing w:after="0" w:line="254" w:lineRule="auto"/>
        <w:tabs>
          <w:tab w:leader="none" w:pos="70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Extension of Termination Date. </w:t>
      </w:r>
      <w:r>
        <w:rPr>
          <w:rFonts w:ascii="Times New Roman" w:cs="Times New Roman" w:eastAsia="Times New Roman" w:hAnsi="Times New Roman"/>
          <w:sz w:val="18"/>
          <w:szCs w:val="18"/>
          <w:color w:val="auto"/>
        </w:rPr>
        <w:t>If the exercise of an Option or SAR following the termination of the Participant’s Continuous Service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for 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time (that need not be consecutive) equal to the applicable post termination exercise period after the termination of the Participant’s Continuous Service during which the exercise of the Option or SAR would not be in violation of such registration requirements, and (ii) the expiration of the term of the Option or SAR as set forth in the applicable Award Agreement. In addition, unless otherwise provided in a Participant’s Award Agreement, if the sale of any Common Stock received on exercise of an Option or SAR following the termination of the Participant’s Continuous Service (other than for Cause) would violate the Company’s insider trading policy, then the Option or SAR will terminate on the earlier of (i) the expiration of a period of months (that need not be consecutive) equal to the applicable post-termination exercise 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Award Agreement.</w:t>
      </w:r>
    </w:p>
    <w:p>
      <w:pPr>
        <w:spacing w:after="0" w:line="182" w:lineRule="exact"/>
        <w:rPr>
          <w:rFonts w:ascii="Times New Roman" w:cs="Times New Roman" w:eastAsia="Times New Roman" w:hAnsi="Times New Roman"/>
          <w:sz w:val="18"/>
          <w:szCs w:val="18"/>
          <w:b w:val="1"/>
          <w:bCs w:val="1"/>
          <w:color w:val="auto"/>
        </w:rPr>
      </w:pPr>
    </w:p>
    <w:p>
      <w:pPr>
        <w:ind w:right="20" w:firstLine="436"/>
        <w:spacing w:after="0" w:line="256" w:lineRule="auto"/>
        <w:tabs>
          <w:tab w:leader="none" w:pos="65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Disability of Participant. </w:t>
      </w:r>
      <w:r>
        <w:rPr>
          <w:rFonts w:ascii="Times New Roman" w:cs="Times New Roman" w:eastAsia="Times New Roman" w:hAnsi="Times New Roman"/>
          <w:sz w:val="18"/>
          <w:szCs w:val="18"/>
          <w:color w:val="auto"/>
        </w:rPr>
        <w:t>Except as otherwise provided in the applicable Award Agreement or other agreement between the Participant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twelve (12) months following such termination of Continuous Service (or such longer or shorter period specified in the Award Agreement) and (ii) the expiration of the term of the Option or SAR as set forth in the Award Agreement. If, after termination of Continuous Service, the Participant does not exercise his or her Option or SAR within the applicable time frame, the Option or SAR (as applicable) will terminate.</w:t>
      </w:r>
    </w:p>
    <w:p>
      <w:pPr>
        <w:spacing w:after="0" w:line="182" w:lineRule="exact"/>
        <w:rPr>
          <w:rFonts w:ascii="Times New Roman" w:cs="Times New Roman" w:eastAsia="Times New Roman" w:hAnsi="Times New Roman"/>
          <w:sz w:val="18"/>
          <w:szCs w:val="18"/>
          <w:b w:val="1"/>
          <w:bCs w:val="1"/>
          <w:color w:val="auto"/>
        </w:rPr>
      </w:pPr>
    </w:p>
    <w:p>
      <w:pPr>
        <w:ind w:right="80" w:firstLine="436"/>
        <w:spacing w:after="0" w:line="254" w:lineRule="auto"/>
        <w:tabs>
          <w:tab w:leader="none" w:pos="66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Death of Participant. </w:t>
      </w:r>
      <w:r>
        <w:rPr>
          <w:rFonts w:ascii="Times New Roman" w:cs="Times New Roman" w:eastAsia="Times New Roman" w:hAnsi="Times New Roman"/>
          <w:sz w:val="18"/>
          <w:szCs w:val="18"/>
          <w:color w:val="auto"/>
        </w:rPr>
        <w:t>Except as otherwise provided in the applicable Award Agreement or other agreement between the Participant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if (i) a Participant’s Continuous Service terminates as a result of the Participant’s death, or (ii) the Participant dies within the period (if any) specified in the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eighteen (18) months following the date of death (or such longer or shorter period specified in the Award Agreement) and (ii) the expiration of the term of such Option or SAR as set forth in the Award Agreement. If, after the Participant’s death, the Option or SAR is not exercised within the applicable time frame, the Option or SAR (as applicable) will terminate.</w:t>
      </w:r>
    </w:p>
    <w:p>
      <w:pPr>
        <w:spacing w:after="0" w:line="188" w:lineRule="exact"/>
        <w:rPr>
          <w:rFonts w:ascii="Times New Roman" w:cs="Times New Roman" w:eastAsia="Times New Roman" w:hAnsi="Times New Roman"/>
          <w:sz w:val="18"/>
          <w:szCs w:val="18"/>
          <w:b w:val="1"/>
          <w:bCs w:val="1"/>
          <w:color w:val="auto"/>
        </w:rPr>
      </w:pPr>
    </w:p>
    <w:p>
      <w:pPr>
        <w:ind w:right="260" w:firstLine="436"/>
        <w:spacing w:after="0" w:line="262" w:lineRule="auto"/>
        <w:tabs>
          <w:tab w:leader="none" w:pos="70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for Cause. </w:t>
      </w:r>
      <w:r>
        <w:rPr>
          <w:rFonts w:ascii="Times New Roman" w:cs="Times New Roman" w:eastAsia="Times New Roman" w:hAnsi="Times New Roman"/>
          <w:sz w:val="18"/>
          <w:szCs w:val="18"/>
          <w:color w:val="auto"/>
        </w:rPr>
        <w:t>Except as explicitly provided otherwise in a Participant’s Award Agreement or other individual written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the Company or any Affiliate and the Participant, if a Participant’s Continuous Service is terminated for Cause, the Option or SAR will terminate immediately upon such Participant’s termination of Continuous Service, and the Participant will be prohibited from exercising his or her Option or SAR from and after the time of such termination of Continuous Service.</w:t>
      </w:r>
    </w:p>
    <w:p>
      <w:pPr>
        <w:spacing w:after="0" w:line="176" w:lineRule="exact"/>
        <w:rPr>
          <w:rFonts w:ascii="Times New Roman" w:cs="Times New Roman" w:eastAsia="Times New Roman" w:hAnsi="Times New Roman"/>
          <w:sz w:val="18"/>
          <w:szCs w:val="18"/>
          <w:b w:val="1"/>
          <w:bCs w:val="1"/>
          <w:color w:val="auto"/>
        </w:rPr>
      </w:pPr>
    </w:p>
    <w:p>
      <w:pPr>
        <w:ind w:right="380" w:firstLine="436"/>
        <w:spacing w:after="0" w:line="259" w:lineRule="auto"/>
        <w:tabs>
          <w:tab w:leader="none" w:pos="655"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Non-Exempt Employees</w:t>
      </w:r>
      <w:r>
        <w:rPr>
          <w:rFonts w:ascii="Times New Roman" w:cs="Times New Roman" w:eastAsia="Times New Roman" w:hAnsi="Times New Roman"/>
          <w:sz w:val="18"/>
          <w:szCs w:val="18"/>
          <w:color w:val="auto"/>
        </w:rPr>
        <w:t>. If an Option or SAR is granted to an Employee who is a non-exempt employee for purposes of the Fair Labor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Standards Act of 1938, as amended, the Option or SAR will not be first exercisable for any shares of Common Stock until at least six (6) months following the date of grant of the Option or SAR (although the Award may vest prior to such date). Consistent with the provisions of the Worker Economic Opportunity Act, (i) if such non-exempt Employee dies or suffers a Disability, (ii) upon a Corporate Transaction in which such Option or SAR is not assumed, continued, or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12" w:name="page13"/>
    <w:bookmarkEnd w:id="12"/>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substituted, (iii) upon a Change in Control, or (iv) upon the Participant’s retirement (as such term may be defined in the Participant’s Award Agreement, in another agreement between the Participant and the Company, or, if no such definition, in accordance with the Company’s then current employment policies and guidelines), the vested portion of any Options and SARs may be exercised earlier than six (6)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Stock Award will be exempt from the employee’s regular rate of pay, the provisions of this Section 5(l) will apply to all Stock Awards and are hereby incorporated by reference into such Stock Award Agreements.</w:t>
      </w:r>
    </w:p>
    <w:p>
      <w:pPr>
        <w:spacing w:after="0" w:line="336" w:lineRule="exact"/>
        <w:rPr>
          <w:sz w:val="20"/>
          <w:szCs w:val="20"/>
          <w:color w:val="auto"/>
        </w:rPr>
      </w:pPr>
    </w:p>
    <w:p>
      <w:pPr>
        <w:ind w:left="424" w:hanging="424"/>
        <w:spacing w:after="0"/>
        <w:tabs>
          <w:tab w:leader="none" w:pos="424"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ROVISIONS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THER THAN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PTIONS AND</w:t>
      </w:r>
      <w:r>
        <w:rPr>
          <w:rFonts w:ascii="Times New Roman" w:cs="Times New Roman" w:eastAsia="Times New Roman" w:hAnsi="Times New Roman"/>
          <w:sz w:val="18"/>
          <w:szCs w:val="18"/>
          <w:b w:val="1"/>
          <w:bCs w:val="1"/>
          <w:color w:val="auto"/>
        </w:rPr>
        <w:t xml:space="preserve"> SAR</w:t>
      </w: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4" w:firstLine="436"/>
        <w:spacing w:after="0" w:line="256" w:lineRule="auto"/>
        <w:tabs>
          <w:tab w:leader="none" w:pos="699"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Restricted Stock Awards. </w:t>
      </w:r>
      <w:r>
        <w:rPr>
          <w:rFonts w:ascii="Times New Roman" w:cs="Times New Roman" w:eastAsia="Times New Roman" w:hAnsi="Times New Roman"/>
          <w:sz w:val="18"/>
          <w:szCs w:val="18"/>
          <w:color w:val="auto"/>
        </w:rPr>
        <w:t>Each Restricted Stock Award Agreement will be in such form and will contain such terms and conditions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deems appropriate. To the extent consistent with the Company’s bylaws, at the Board’s election, shares of Common Stock may be (i) held in book entry form subject to the Company’s instructions until any restrictions relating to the Restricted Stock Award lapse; or (ii)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w:t>
      </w:r>
    </w:p>
    <w:p>
      <w:pPr>
        <w:spacing w:after="0" w:line="74" w:lineRule="exact"/>
        <w:rPr>
          <w:rFonts w:ascii="Times New Roman" w:cs="Times New Roman" w:eastAsia="Times New Roman" w:hAnsi="Times New Roman"/>
          <w:sz w:val="18"/>
          <w:szCs w:val="18"/>
          <w:b w:val="1"/>
          <w:bCs w:val="1"/>
          <w:color w:val="auto"/>
        </w:rPr>
      </w:pPr>
    </w:p>
    <w:p>
      <w:pPr>
        <w:ind w:left="4" w:right="100" w:firstLine="987"/>
        <w:spacing w:after="0" w:line="268" w:lineRule="auto"/>
        <w:tabs>
          <w:tab w:leader="none" w:pos="1210" w:val="left"/>
        </w:tabs>
        <w:numPr>
          <w:ilvl w:val="2"/>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Consideration. </w:t>
      </w:r>
      <w:r>
        <w:rPr>
          <w:rFonts w:ascii="Times New Roman" w:cs="Times New Roman" w:eastAsia="Times New Roman" w:hAnsi="Times New Roman"/>
          <w:sz w:val="18"/>
          <w:szCs w:val="18"/>
          <w:color w:val="auto"/>
        </w:rPr>
        <w:t>A Restricted Stock Award may be awarded in consideration for (A) cash, check, bank draft or money order payable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(B) past or future services to the Company or an Affiliate, or (C) any other form of legal consideration that may be acceptable to the Board, in its sole discretion, and permissible under applicable law.</w:t>
      </w:r>
    </w:p>
    <w:p>
      <w:pPr>
        <w:spacing w:after="0" w:line="170" w:lineRule="exact"/>
        <w:rPr>
          <w:rFonts w:ascii="Times New Roman" w:cs="Times New Roman" w:eastAsia="Times New Roman" w:hAnsi="Times New Roman"/>
          <w:sz w:val="18"/>
          <w:szCs w:val="18"/>
          <w:b w:val="1"/>
          <w:bCs w:val="1"/>
          <w:color w:val="auto"/>
        </w:rPr>
      </w:pPr>
    </w:p>
    <w:p>
      <w:pPr>
        <w:ind w:left="4" w:right="40" w:firstLine="987"/>
        <w:spacing w:after="0" w:line="286" w:lineRule="auto"/>
        <w:tabs>
          <w:tab w:leader="none" w:pos="1260" w:val="left"/>
        </w:tabs>
        <w:numPr>
          <w:ilvl w:val="2"/>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Shares of Common Stock awarded under the Restricted Stock Award Agreement may be subject to forfeiture to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accordance with a vesting schedule to be determined by the Board.</w:t>
      </w:r>
    </w:p>
    <w:p>
      <w:pPr>
        <w:spacing w:after="0" w:line="154" w:lineRule="exact"/>
        <w:rPr>
          <w:rFonts w:ascii="Times New Roman" w:cs="Times New Roman" w:eastAsia="Times New Roman" w:hAnsi="Times New Roman"/>
          <w:sz w:val="18"/>
          <w:szCs w:val="18"/>
          <w:b w:val="1"/>
          <w:bCs w:val="1"/>
          <w:color w:val="auto"/>
        </w:rPr>
      </w:pPr>
    </w:p>
    <w:p>
      <w:pPr>
        <w:ind w:left="4" w:right="140" w:firstLine="987"/>
        <w:spacing w:after="0" w:line="268" w:lineRule="auto"/>
        <w:tabs>
          <w:tab w:leader="none" w:pos="1310" w:val="left"/>
        </w:tabs>
        <w:numPr>
          <w:ilvl w:val="2"/>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Participant’s Continuous Service. </w:t>
      </w:r>
      <w:r>
        <w:rPr>
          <w:rFonts w:ascii="Times New Roman" w:cs="Times New Roman" w:eastAsia="Times New Roman" w:hAnsi="Times New Roman"/>
          <w:sz w:val="18"/>
          <w:szCs w:val="18"/>
          <w:color w:val="auto"/>
        </w:rPr>
        <w:t>If a Participant’s Continuous Service terminates, the Company may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a forfeiture condition or a repurchase right any or all of the shares of Common Stock held by the Participant that have not vested as of the date of termination of Continuous Service under the terms of the Restricted Stock Award Agreement.</w:t>
      </w:r>
    </w:p>
    <w:p>
      <w:pPr>
        <w:spacing w:after="0" w:line="170" w:lineRule="exact"/>
        <w:rPr>
          <w:rFonts w:ascii="Times New Roman" w:cs="Times New Roman" w:eastAsia="Times New Roman" w:hAnsi="Times New Roman"/>
          <w:sz w:val="18"/>
          <w:szCs w:val="18"/>
          <w:b w:val="1"/>
          <w:bCs w:val="1"/>
          <w:color w:val="auto"/>
        </w:rPr>
      </w:pPr>
    </w:p>
    <w:p>
      <w:pPr>
        <w:ind w:left="4" w:right="60" w:firstLine="987"/>
        <w:spacing w:after="0" w:line="262" w:lineRule="auto"/>
        <w:tabs>
          <w:tab w:leader="none" w:pos="1300" w:val="left"/>
        </w:tabs>
        <w:numPr>
          <w:ilvl w:val="2"/>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Transferability. </w:t>
      </w:r>
      <w:r>
        <w:rPr>
          <w:rFonts w:ascii="Times New Roman" w:cs="Times New Roman" w:eastAsia="Times New Roman" w:hAnsi="Times New Roman"/>
          <w:sz w:val="18"/>
          <w:szCs w:val="18"/>
          <w:color w:val="auto"/>
        </w:rPr>
        <w:t>Rights to acquire shares of Common Stock under the Restricted Stock Award Agreement will be transferable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only upon such terms and conditions as are set forth in the Restricted Stock Award Agreement, as the Board will determine in its sole discretion, so long as Common Stock awarded under the Restricted Stock Award Agreement remains subject to the terms of the Restricted Stock Award Agreement.</w:t>
      </w:r>
    </w:p>
    <w:p>
      <w:pPr>
        <w:spacing w:after="0" w:line="176" w:lineRule="exact"/>
        <w:rPr>
          <w:rFonts w:ascii="Times New Roman" w:cs="Times New Roman" w:eastAsia="Times New Roman" w:hAnsi="Times New Roman"/>
          <w:sz w:val="18"/>
          <w:szCs w:val="18"/>
          <w:b w:val="1"/>
          <w:bCs w:val="1"/>
          <w:color w:val="auto"/>
        </w:rPr>
      </w:pPr>
    </w:p>
    <w:p>
      <w:pPr>
        <w:ind w:left="4" w:right="80" w:firstLine="987"/>
        <w:spacing w:after="0" w:line="286" w:lineRule="auto"/>
        <w:tabs>
          <w:tab w:leader="none" w:pos="1250" w:val="left"/>
        </w:tabs>
        <w:numPr>
          <w:ilvl w:val="2"/>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A Restricted Stock Award Agreement may provide that any dividends paid on Restricted Stock will be subject to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vesting and forfeiture restrictions as apply to the shares subject to the Restricted Stock Award to which they relate.</w:t>
      </w:r>
    </w:p>
    <w:p>
      <w:pPr>
        <w:spacing w:after="0" w:line="9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70" w:right="479" w:bottom="1440" w:gutter="0" w:footer="0" w:header="0"/>
        </w:sectPr>
      </w:pPr>
    </w:p>
    <w:bookmarkStart w:id="13" w:name="page14"/>
    <w:bookmarkEnd w:id="13"/>
    <w:p>
      <w:pPr>
        <w:jc w:val="both"/>
        <w:ind w:firstLine="436"/>
        <w:spacing w:after="0" w:line="282" w:lineRule="auto"/>
        <w:tabs>
          <w:tab w:leader="none" w:pos="705"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Restricted Stock Unit Awards. </w:t>
      </w:r>
      <w:r>
        <w:rPr>
          <w:rFonts w:ascii="Times New Roman" w:cs="Times New Roman" w:eastAsia="Times New Roman" w:hAnsi="Times New Roman"/>
          <w:sz w:val="17"/>
          <w:szCs w:val="17"/>
          <w:color w:val="auto"/>
        </w:rPr>
        <w:t>Each Restricted Stock Unit Award Agreement will be in such form and will contain such terms and conditions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the Board deems appropriate. The terms and conditions of Restricted Stock Unit Award Agreements may change from time to time, and the terms and conditions of separate Restricted Stock Unit Award Agreements need not be identical. Each Restricted Stock Unit Award Agreement will conform to (through incorporation of the provisions hereof by reference in the Award Agreement or otherwise) the substance of each of the following provisions:</w:t>
      </w:r>
    </w:p>
    <w:p>
      <w:pPr>
        <w:spacing w:after="0" w:line="53" w:lineRule="exact"/>
        <w:rPr>
          <w:rFonts w:ascii="Times New Roman" w:cs="Times New Roman" w:eastAsia="Times New Roman" w:hAnsi="Times New Roman"/>
          <w:sz w:val="17"/>
          <w:szCs w:val="17"/>
          <w:b w:val="1"/>
          <w:bCs w:val="1"/>
          <w:color w:val="auto"/>
        </w:rPr>
      </w:pPr>
    </w:p>
    <w:p>
      <w:pPr>
        <w:ind w:right="80" w:firstLine="987"/>
        <w:spacing w:after="0" w:line="262" w:lineRule="auto"/>
        <w:tabs>
          <w:tab w:leader="none" w:pos="1206" w:val="left"/>
        </w:tabs>
        <w:numPr>
          <w:ilvl w:val="1"/>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Consideration. </w:t>
      </w:r>
      <w:r>
        <w:rPr>
          <w:rFonts w:ascii="Times New Roman" w:cs="Times New Roman" w:eastAsia="Times New Roman" w:hAnsi="Times New Roman"/>
          <w:sz w:val="18"/>
          <w:szCs w:val="18"/>
          <w:color w:val="auto"/>
        </w:rPr>
        <w:t>At the time of grant of a Restricted Stock Unit Award, the Board will determine the consideration, if any, to be paid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spacing w:after="0" w:line="176" w:lineRule="exact"/>
        <w:rPr>
          <w:rFonts w:ascii="Times New Roman" w:cs="Times New Roman" w:eastAsia="Times New Roman" w:hAnsi="Times New Roman"/>
          <w:sz w:val="18"/>
          <w:szCs w:val="18"/>
          <w:b w:val="1"/>
          <w:bCs w:val="1"/>
          <w:color w:val="auto"/>
        </w:rPr>
      </w:pPr>
    </w:p>
    <w:p>
      <w:pPr>
        <w:ind w:right="380" w:firstLine="987"/>
        <w:spacing w:after="0" w:line="286" w:lineRule="auto"/>
        <w:tabs>
          <w:tab w:leader="none" w:pos="1256" w:val="left"/>
        </w:tabs>
        <w:numPr>
          <w:ilvl w:val="1"/>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At the time of the grant of a Restricted Stock Unit Award, the Board may impose such restrictions on or conditions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vesting of the Restricted Stock Unit Award as it, in its sole discretion, deems appropriate.</w:t>
      </w:r>
    </w:p>
    <w:p>
      <w:pPr>
        <w:spacing w:after="0" w:line="154" w:lineRule="exact"/>
        <w:rPr>
          <w:rFonts w:ascii="Times New Roman" w:cs="Times New Roman" w:eastAsia="Times New Roman" w:hAnsi="Times New Roman"/>
          <w:sz w:val="18"/>
          <w:szCs w:val="18"/>
          <w:b w:val="1"/>
          <w:bCs w:val="1"/>
          <w:color w:val="auto"/>
        </w:rPr>
      </w:pPr>
    </w:p>
    <w:p>
      <w:pPr>
        <w:ind w:right="280" w:firstLine="987"/>
        <w:spacing w:after="0" w:line="317" w:lineRule="auto"/>
        <w:tabs>
          <w:tab w:leader="none" w:pos="1306" w:val="left"/>
        </w:tabs>
        <w:numPr>
          <w:ilvl w:val="1"/>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Payment</w:t>
      </w:r>
      <w:r>
        <w:rPr>
          <w:rFonts w:ascii="Times New Roman" w:cs="Times New Roman" w:eastAsia="Times New Roman" w:hAnsi="Times New Roman"/>
          <w:sz w:val="17"/>
          <w:szCs w:val="17"/>
          <w:color w:val="auto"/>
        </w:rPr>
        <w:t>. A Restricted Stock Unit Award may be settled by the delivery of shares of Common Stock, their cash equivalent,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combination thereof or in any other form of consideration, as determined by the Board and contained in the Restricted Stock Unit Award Agreement.</w:t>
      </w:r>
    </w:p>
    <w:p>
      <w:pPr>
        <w:spacing w:after="0" w:line="131" w:lineRule="exact"/>
        <w:rPr>
          <w:rFonts w:ascii="Times New Roman" w:cs="Times New Roman" w:eastAsia="Times New Roman" w:hAnsi="Times New Roman"/>
          <w:sz w:val="17"/>
          <w:szCs w:val="17"/>
          <w:b w:val="1"/>
          <w:bCs w:val="1"/>
          <w:color w:val="auto"/>
        </w:rPr>
      </w:pPr>
    </w:p>
    <w:p>
      <w:pPr>
        <w:ind w:right="40" w:firstLine="987"/>
        <w:spacing w:after="0" w:line="268" w:lineRule="auto"/>
        <w:tabs>
          <w:tab w:leader="none" w:pos="1296" w:val="left"/>
        </w:tabs>
        <w:numPr>
          <w:ilvl w:val="1"/>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Additional Restrictions. </w:t>
      </w:r>
      <w:r>
        <w:rPr>
          <w:rFonts w:ascii="Times New Roman" w:cs="Times New Roman" w:eastAsia="Times New Roman" w:hAnsi="Times New Roman"/>
          <w:sz w:val="18"/>
          <w:szCs w:val="18"/>
          <w:color w:val="auto"/>
        </w:rPr>
        <w:t>At the time of the grant of a Restricted Stock Unit Award, the Board, as it deems appropriate, may impose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restrictions or conditions that delay the delivery of the shares of Common Stock (or their cash equivalent) subject to a Restricted Stock Unit Award to a time after the vesting of such Restricted Stock Unit Award.</w:t>
      </w:r>
    </w:p>
    <w:p>
      <w:pPr>
        <w:spacing w:after="0" w:line="170" w:lineRule="exact"/>
        <w:rPr>
          <w:rFonts w:ascii="Times New Roman" w:cs="Times New Roman" w:eastAsia="Times New Roman" w:hAnsi="Times New Roman"/>
          <w:sz w:val="18"/>
          <w:szCs w:val="18"/>
          <w:b w:val="1"/>
          <w:bCs w:val="1"/>
          <w:color w:val="auto"/>
        </w:rPr>
      </w:pPr>
    </w:p>
    <w:p>
      <w:pPr>
        <w:ind w:right="300" w:firstLine="987"/>
        <w:spacing w:after="0" w:line="259" w:lineRule="auto"/>
        <w:tabs>
          <w:tab w:leader="none" w:pos="1246" w:val="left"/>
        </w:tabs>
        <w:numPr>
          <w:ilvl w:val="1"/>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 Equivalents. </w:t>
      </w:r>
      <w:r>
        <w:rPr>
          <w:rFonts w:ascii="Times New Roman" w:cs="Times New Roman" w:eastAsia="Times New Roman" w:hAnsi="Times New Roman"/>
          <w:sz w:val="18"/>
          <w:szCs w:val="18"/>
          <w:color w:val="auto"/>
        </w:rPr>
        <w:t>Dividend equivalents may be credited in respect of shares of Common Stock covered by a Restricted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 Award, as determined by the Board and contained in the Restricted Stock Unit Award Agreement. At the sole discretion of the Board, such dividend equivalents may be converted into additional shares of Common Stock covered by the Restricted Stock Unit Award in such manner as determined by the Board. Any additional shares covered by the Restricted Stock Unit Award credited by reason of such dividend equivalents will be subject to all of the same terms and conditions of the underlying Restricted Stock Unit Award Agreement to which they relate.</w:t>
      </w:r>
    </w:p>
    <w:p>
      <w:pPr>
        <w:spacing w:after="0" w:line="179" w:lineRule="exact"/>
        <w:rPr>
          <w:rFonts w:ascii="Times New Roman" w:cs="Times New Roman" w:eastAsia="Times New Roman" w:hAnsi="Times New Roman"/>
          <w:sz w:val="18"/>
          <w:szCs w:val="18"/>
          <w:b w:val="1"/>
          <w:bCs w:val="1"/>
          <w:color w:val="auto"/>
        </w:rPr>
      </w:pPr>
    </w:p>
    <w:p>
      <w:pPr>
        <w:ind w:right="120" w:firstLine="987"/>
        <w:spacing w:after="0" w:line="268" w:lineRule="auto"/>
        <w:tabs>
          <w:tab w:leader="none" w:pos="1296" w:val="left"/>
        </w:tabs>
        <w:numPr>
          <w:ilvl w:val="1"/>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Participant’s Continuous Service. </w:t>
      </w:r>
      <w:r>
        <w:rPr>
          <w:rFonts w:ascii="Times New Roman" w:cs="Times New Roman" w:eastAsia="Times New Roman" w:hAnsi="Times New Roman"/>
          <w:sz w:val="18"/>
          <w:szCs w:val="18"/>
          <w:color w:val="auto"/>
        </w:rPr>
        <w:t>Except as otherwise provided in the applicable Restricted Stock Unit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other written agreement between a Participant and the Company or an Affiliate, such portion of the Restricted Stock Unit Award that has not vested will be forfeited upon the Participant’s termination of Continuous Service.</w:t>
      </w:r>
    </w:p>
    <w:p>
      <w:pPr>
        <w:spacing w:after="0" w:line="170" w:lineRule="exact"/>
        <w:rPr>
          <w:rFonts w:ascii="Times New Roman" w:cs="Times New Roman" w:eastAsia="Times New Roman" w:hAnsi="Times New Roman"/>
          <w:sz w:val="18"/>
          <w:szCs w:val="18"/>
          <w:b w:val="1"/>
          <w:bCs w:val="1"/>
          <w:color w:val="auto"/>
        </w:rPr>
      </w:pPr>
    </w:p>
    <w:p>
      <w:pPr>
        <w:ind w:left="680" w:hanging="244"/>
        <w:spacing w:after="0"/>
        <w:tabs>
          <w:tab w:leader="none" w:pos="6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Awards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firstLine="987"/>
        <w:spacing w:after="0" w:line="257" w:lineRule="auto"/>
        <w:tabs>
          <w:tab w:leader="none" w:pos="1206" w:val="left"/>
        </w:tabs>
        <w:numPr>
          <w:ilvl w:val="1"/>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Stock Awards</w:t>
      </w:r>
      <w:r>
        <w:rPr>
          <w:rFonts w:ascii="Times New Roman" w:cs="Times New Roman" w:eastAsia="Times New Roman" w:hAnsi="Times New Roman"/>
          <w:sz w:val="18"/>
          <w:szCs w:val="18"/>
          <w:color w:val="auto"/>
        </w:rPr>
        <w:t>. A Performance Stock Award is a Stock Award that is payable (including that may be granted, may vest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exercised) contingent upon the attainment during a Performance Period of certain Performance Goals. A Performance Stock Award may, but need not, require the Participant’s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Board or Committee, in its sole discretion. In addition, to the extent permitted by applicable law and the applicable Award Agreement, the Board or the Committee may determine that cash may be used in payment of Performance Stock Awards.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14" w:name="page15"/>
    <w:bookmarkEnd w:id="14"/>
    <w:p>
      <w:pPr>
        <w:ind w:left="4" w:right="40" w:firstLine="987"/>
        <w:spacing w:after="0" w:line="256" w:lineRule="auto"/>
        <w:tabs>
          <w:tab w:leader="none" w:pos="1260" w:val="left"/>
        </w:tabs>
        <w:numPr>
          <w:ilvl w:val="2"/>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Performance Cash Awards</w:t>
      </w:r>
      <w:r>
        <w:rPr>
          <w:rFonts w:ascii="Times New Roman" w:cs="Times New Roman" w:eastAsia="Times New Roman" w:hAnsi="Times New Roman"/>
          <w:sz w:val="18"/>
          <w:szCs w:val="18"/>
          <w:color w:val="auto"/>
        </w:rPr>
        <w:t>. A Performance Cash Award is a cash award that is payable contingent upon the attainment during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Period of certain Performance Goals. A Performance Cash Award may also require the completion of a specified period of Continuous Service. At the time of grant of a Performance Cash Award, the length of any Performance Period, the Performance Goals to be achieved during the Performance Period, and the measure of whether and to what degree such Performance Goals have been attained will be conclusively determined by the Board or Committee, in its sole discretion. The Board or Committee may specify the form of payment of Performance Cash Awards, which may be cash or other property, or may provide for a Participant to have the option for his or her Performance Cash Award, or such portion thereof as the Board may specify, to be paid in whole or in part in cash or other property.</w:t>
      </w:r>
    </w:p>
    <w:p>
      <w:pPr>
        <w:spacing w:after="0" w:line="182" w:lineRule="exact"/>
        <w:rPr>
          <w:rFonts w:ascii="Times New Roman" w:cs="Times New Roman" w:eastAsia="Times New Roman" w:hAnsi="Times New Roman"/>
          <w:sz w:val="18"/>
          <w:szCs w:val="18"/>
          <w:b w:val="1"/>
          <w:bCs w:val="1"/>
          <w:color w:val="auto"/>
        </w:rPr>
      </w:pPr>
    </w:p>
    <w:p>
      <w:pPr>
        <w:ind w:left="4" w:right="40" w:firstLine="987"/>
        <w:spacing w:after="0" w:line="262" w:lineRule="auto"/>
        <w:tabs>
          <w:tab w:leader="none" w:pos="1310" w:val="left"/>
        </w:tabs>
        <w:numPr>
          <w:ilvl w:val="2"/>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Discretion</w:t>
      </w:r>
      <w:r>
        <w:rPr>
          <w:rFonts w:ascii="Times New Roman" w:cs="Times New Roman" w:eastAsia="Times New Roman" w:hAnsi="Times New Roman"/>
          <w:sz w:val="18"/>
          <w:szCs w:val="18"/>
          <w:color w:val="auto"/>
        </w:rPr>
        <w:t>. The Board retains the discretion to adjust or eliminate the compensation or economic benefit due upon attainment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Performance Goals and to define the manner of calculating the Performance Criteria it selects to use for a Performance Period. Partial achievement of the specified criteria may result in the payment or vesting corresponding to the degree of achievement as specified in the Stock Award Agreement or the written terms of a Performance Cash Award.</w:t>
      </w:r>
    </w:p>
    <w:p>
      <w:pPr>
        <w:spacing w:after="0" w:line="176" w:lineRule="exact"/>
        <w:rPr>
          <w:rFonts w:ascii="Times New Roman" w:cs="Times New Roman" w:eastAsia="Times New Roman" w:hAnsi="Times New Roman"/>
          <w:sz w:val="18"/>
          <w:szCs w:val="18"/>
          <w:b w:val="1"/>
          <w:bCs w:val="1"/>
          <w:color w:val="auto"/>
        </w:rPr>
      </w:pPr>
    </w:p>
    <w:p>
      <w:pPr>
        <w:ind w:left="4" w:firstLine="436"/>
        <w:spacing w:after="0" w:line="257" w:lineRule="auto"/>
        <w:tabs>
          <w:tab w:leader="none" w:pos="709"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Stock Awards</w:t>
      </w:r>
      <w:r>
        <w:rPr>
          <w:rFonts w:ascii="Times New Roman" w:cs="Times New Roman" w:eastAsia="Times New Roman" w:hAnsi="Times New Roman"/>
          <w:sz w:val="18"/>
          <w:szCs w:val="18"/>
          <w:color w:val="auto"/>
        </w:rPr>
        <w:t>. Other forms of Stock Awards valued in whole or in part by reference to, or otherwise based on,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appreciation in value thereof (e.g., options or stock rights with an exercise price or strike price less than 100% of the Fair Market Value of the Common Stock at the time of grant) may be granted either alone or in addition to Stock Awards provided for under Section 5 and the preceding provisions of this Section 6. Subject to the provisions of the Plan, the Board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spacing w:after="0" w:line="330"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OVENANTS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4" w:right="240" w:firstLine="436"/>
        <w:spacing w:after="0" w:line="286" w:lineRule="auto"/>
        <w:tabs>
          <w:tab w:leader="none" w:pos="699"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Availability of Shares. </w:t>
      </w:r>
      <w:r>
        <w:rPr>
          <w:rFonts w:ascii="Times New Roman" w:cs="Times New Roman" w:eastAsia="Times New Roman" w:hAnsi="Times New Roman"/>
          <w:sz w:val="18"/>
          <w:szCs w:val="18"/>
          <w:color w:val="auto"/>
        </w:rPr>
        <w:t>The Company will keep available at all times the number of shares of Common Stock reasonably required to satisfy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then-outstanding Stock Awards.</w:t>
      </w:r>
    </w:p>
    <w:p>
      <w:pPr>
        <w:spacing w:after="0" w:line="154" w:lineRule="exact"/>
        <w:rPr>
          <w:rFonts w:ascii="Times New Roman" w:cs="Times New Roman" w:eastAsia="Times New Roman" w:hAnsi="Times New Roman"/>
          <w:sz w:val="18"/>
          <w:szCs w:val="18"/>
          <w:b w:val="1"/>
          <w:bCs w:val="1"/>
          <w:color w:val="auto"/>
        </w:rPr>
      </w:pPr>
    </w:p>
    <w:p>
      <w:pPr>
        <w:ind w:left="4" w:right="20" w:firstLine="436"/>
        <w:spacing w:after="0" w:line="254" w:lineRule="auto"/>
        <w:tabs>
          <w:tab w:leader="none" w:pos="709"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Securities Law Compliance. </w:t>
      </w:r>
      <w:r>
        <w:rPr>
          <w:rFonts w:ascii="Times New Roman" w:cs="Times New Roman" w:eastAsia="Times New Roman" w:hAnsi="Times New Roman"/>
          <w:sz w:val="18"/>
          <w:szCs w:val="18"/>
          <w:color w:val="auto"/>
        </w:rPr>
        <w:t>The Company will seek to obtain from each regulatory commission or agency having jurisdiction over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 necessary, such authority as may be required to grant Stock Awards and to issue and sell shares of Common Stock upon exercise or vesting of the Stock Awards;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this undertaking will not require the Company to register under the Securities Act or other securities or applicable laws, the Plan, any Stock Award or any Common Stock issued or issuable pursuant to any such Stock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Stock Awards unless and until such authority is obtained. A Participant will not be eligible for the grant of an Award or the subsequent issuance of cash or Common Stock pursuant to the Award if such grant or issuance would be in violation of any applicable securities law.</w:t>
      </w:r>
    </w:p>
    <w:p>
      <w:pPr>
        <w:spacing w:after="0" w:line="188" w:lineRule="exact"/>
        <w:rPr>
          <w:rFonts w:ascii="Times New Roman" w:cs="Times New Roman" w:eastAsia="Times New Roman" w:hAnsi="Times New Roman"/>
          <w:sz w:val="18"/>
          <w:szCs w:val="18"/>
          <w:b w:val="1"/>
          <w:bCs w:val="1"/>
          <w:color w:val="auto"/>
        </w:rPr>
      </w:pPr>
    </w:p>
    <w:p>
      <w:pPr>
        <w:ind w:left="4" w:right="40" w:firstLine="436"/>
        <w:spacing w:after="0" w:line="262" w:lineRule="auto"/>
        <w:tabs>
          <w:tab w:leader="none" w:pos="689"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Obligation to Notify or Minimize Taxes. </w:t>
      </w:r>
      <w:r>
        <w:rPr>
          <w:rFonts w:ascii="Times New Roman" w:cs="Times New Roman" w:eastAsia="Times New Roman" w:hAnsi="Times New Roman"/>
          <w:sz w:val="18"/>
          <w:szCs w:val="18"/>
          <w:color w:val="auto"/>
        </w:rPr>
        <w:t>The Company will have no duty or obligation to any Participant to advise such holder as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 treatment or time or manner of exercising such Stock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66" w:right="459" w:bottom="1440" w:gutter="0" w:footer="0" w:header="0"/>
        </w:sectPr>
      </w:pPr>
    </w:p>
    <w:bookmarkStart w:id="15" w:name="page16"/>
    <w:bookmarkEnd w:id="15"/>
    <w:p>
      <w:pPr>
        <w:ind w:left="424" w:hanging="424"/>
        <w:spacing w:after="0"/>
        <w:tabs>
          <w:tab w:leader="none" w:pos="424"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w:t>
      </w:r>
      <w:r>
        <w:rPr>
          <w:rFonts w:ascii="Times New Roman" w:cs="Times New Roman" w:eastAsia="Times New Roman" w:hAnsi="Times New Roman"/>
          <w:sz w:val="14"/>
          <w:szCs w:val="14"/>
          <w:b w:val="1"/>
          <w:bCs w:val="1"/>
          <w:color w:val="auto"/>
        </w:rPr>
        <w:t>ISCELLANEOUS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4" w:right="100" w:firstLine="436"/>
        <w:spacing w:after="0" w:line="286" w:lineRule="auto"/>
        <w:tabs>
          <w:tab w:leader="none" w:pos="699"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from Sales of Common Stock. </w:t>
      </w:r>
      <w:r>
        <w:rPr>
          <w:rFonts w:ascii="Times New Roman" w:cs="Times New Roman" w:eastAsia="Times New Roman" w:hAnsi="Times New Roman"/>
          <w:sz w:val="18"/>
          <w:szCs w:val="18"/>
          <w:color w:val="auto"/>
        </w:rPr>
        <w:t>Proceeds from the sale of shares of Common Stock pursuant to Stock Awards will constitute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funds of the Company.</w:t>
      </w:r>
    </w:p>
    <w:p>
      <w:pPr>
        <w:spacing w:after="0" w:line="154" w:lineRule="exact"/>
        <w:rPr>
          <w:rFonts w:ascii="Times New Roman" w:cs="Times New Roman" w:eastAsia="Times New Roman" w:hAnsi="Times New Roman"/>
          <w:sz w:val="18"/>
          <w:szCs w:val="18"/>
          <w:b w:val="1"/>
          <w:bCs w:val="1"/>
          <w:color w:val="auto"/>
        </w:rPr>
      </w:pPr>
    </w:p>
    <w:p>
      <w:pPr>
        <w:ind w:left="4" w:right="80" w:firstLine="436"/>
        <w:spacing w:after="0" w:line="274" w:lineRule="auto"/>
        <w:tabs>
          <w:tab w:leader="none" w:pos="709" w:val="left"/>
        </w:tabs>
        <w:numPr>
          <w:ilvl w:val="1"/>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Corporate Action Constituting Grant of Awards. </w:t>
      </w:r>
      <w:r>
        <w:rPr>
          <w:rFonts w:ascii="Times New Roman" w:cs="Times New Roman" w:eastAsia="Times New Roman" w:hAnsi="Times New Roman"/>
          <w:sz w:val="17"/>
          <w:szCs w:val="17"/>
          <w:color w:val="auto"/>
        </w:rPr>
        <w:t>Corporate action constituting a grant by the Company of an Award to any Participant will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w:t>
      </w:r>
    </w:p>
    <w:p>
      <w:pPr>
        <w:ind w:left="4"/>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w:t>
      </w:r>
    </w:p>
    <w:p>
      <w:pPr>
        <w:spacing w:after="0" w:line="184" w:lineRule="exact"/>
        <w:rPr>
          <w:rFonts w:ascii="Times New Roman" w:cs="Times New Roman" w:eastAsia="Times New Roman" w:hAnsi="Times New Roman"/>
          <w:sz w:val="17"/>
          <w:szCs w:val="17"/>
          <w:b w:val="1"/>
          <w:bCs w:val="1"/>
          <w:color w:val="auto"/>
        </w:rPr>
      </w:pPr>
    </w:p>
    <w:p>
      <w:pPr>
        <w:ind w:left="4" w:right="20" w:firstLine="436"/>
        <w:spacing w:after="0" w:line="262" w:lineRule="auto"/>
        <w:tabs>
          <w:tab w:leader="none" w:pos="689"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 Rights. </w:t>
      </w:r>
      <w:r>
        <w:rPr>
          <w:rFonts w:ascii="Times New Roman" w:cs="Times New Roman" w:eastAsia="Times New Roman" w:hAnsi="Times New Roman"/>
          <w:sz w:val="18"/>
          <w:szCs w:val="18"/>
          <w:color w:val="auto"/>
        </w:rPr>
        <w:t>No Participant will be deemed to be the holder of, or to have any of the rights of a holder with respect to, any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subject to an Award unless and until (i) such Participant has satisfied all requirements for exercise of, or the issuance of shares of Common Stock under, the Award pursuant to its terms, and (ii) the issuance of the Common Stock subject to such Award has been entered into the books and records of the Company.</w:t>
      </w:r>
    </w:p>
    <w:p>
      <w:pPr>
        <w:spacing w:after="0" w:line="176" w:lineRule="exact"/>
        <w:rPr>
          <w:rFonts w:ascii="Times New Roman" w:cs="Times New Roman" w:eastAsia="Times New Roman" w:hAnsi="Times New Roman"/>
          <w:sz w:val="18"/>
          <w:szCs w:val="18"/>
          <w:b w:val="1"/>
          <w:bCs w:val="1"/>
          <w:color w:val="auto"/>
        </w:rPr>
      </w:pPr>
    </w:p>
    <w:p>
      <w:pPr>
        <w:ind w:left="4" w:right="40" w:firstLine="436"/>
        <w:spacing w:after="0" w:line="257" w:lineRule="auto"/>
        <w:tabs>
          <w:tab w:leader="none" w:pos="709"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Employment or Other Service Rights. </w:t>
      </w:r>
      <w:r>
        <w:rPr>
          <w:rFonts w:ascii="Times New Roman" w:cs="Times New Roman" w:eastAsia="Times New Roman" w:hAnsi="Times New Roman"/>
          <w:sz w:val="18"/>
          <w:szCs w:val="18"/>
          <w:color w:val="auto"/>
        </w:rPr>
        <w:t>Nothing in the Plan, any Award Agreement or any other instrument executed thereunder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any Award granted pursuant thereto will confer upon any Participant any right to continue to serve the Company or an Affiliate in the capacity in effect at the time the Award was granted or will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domiciled or incorporated, as the case may be.</w:t>
      </w:r>
    </w:p>
    <w:p>
      <w:pPr>
        <w:spacing w:after="0" w:line="182" w:lineRule="exact"/>
        <w:rPr>
          <w:rFonts w:ascii="Times New Roman" w:cs="Times New Roman" w:eastAsia="Times New Roman" w:hAnsi="Times New Roman"/>
          <w:sz w:val="18"/>
          <w:szCs w:val="18"/>
          <w:b w:val="1"/>
          <w:bCs w:val="1"/>
          <w:color w:val="auto"/>
        </w:rPr>
      </w:pPr>
    </w:p>
    <w:p>
      <w:pPr>
        <w:ind w:left="4" w:right="20" w:firstLine="436"/>
        <w:spacing w:after="0" w:line="256" w:lineRule="auto"/>
        <w:tabs>
          <w:tab w:leader="none" w:pos="689"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in Time Commitment</w:t>
      </w:r>
      <w:r>
        <w:rPr>
          <w:rFonts w:ascii="Times New Roman" w:cs="Times New Roman" w:eastAsia="Times New Roman" w:hAnsi="Times New Roman"/>
          <w:sz w:val="18"/>
          <w:szCs w:val="18"/>
          <w:color w:val="auto"/>
        </w:rPr>
        <w:t>. In the event a Participant’s regular level of time commitment in the performance of his or her services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has the right in its sole discretion to (x) make a corresponding reduction in the number of shares or cash amount subject to any portion of such Award that is scheduled to vest or become payable after the date of such change in time commitment, and (y)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82" w:lineRule="exact"/>
        <w:rPr>
          <w:rFonts w:ascii="Times New Roman" w:cs="Times New Roman" w:eastAsia="Times New Roman" w:hAnsi="Times New Roman"/>
          <w:sz w:val="18"/>
          <w:szCs w:val="18"/>
          <w:b w:val="1"/>
          <w:bCs w:val="1"/>
          <w:color w:val="auto"/>
        </w:rPr>
      </w:pPr>
    </w:p>
    <w:p>
      <w:pPr>
        <w:ind w:left="4" w:right="160" w:firstLine="436"/>
        <w:spacing w:after="0" w:line="278" w:lineRule="auto"/>
        <w:tabs>
          <w:tab w:leader="none" w:pos="669" w:val="left"/>
        </w:tabs>
        <w:numPr>
          <w:ilvl w:val="1"/>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Incentive Stock Option Limitations. </w:t>
      </w:r>
      <w:r>
        <w:rPr>
          <w:rFonts w:ascii="Times New Roman" w:cs="Times New Roman" w:eastAsia="Times New Roman" w:hAnsi="Times New Roman"/>
          <w:sz w:val="17"/>
          <w:szCs w:val="17"/>
          <w:color w:val="auto"/>
        </w:rPr>
        <w:t>To the extent that the aggregate Fair Market Value (determined at the time of grant) of Common Stock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4"/>
          </w:cols>
          <w:pgMar w:left="436" w:top="266" w:right="439" w:bottom="1440" w:gutter="0" w:footer="0" w:header="0"/>
        </w:sectPr>
      </w:pPr>
    </w:p>
    <w:bookmarkStart w:id="16" w:name="page17"/>
    <w:bookmarkEnd w:id="16"/>
    <w:p>
      <w:pPr>
        <w:ind w:left="704" w:hanging="264"/>
        <w:spacing w:after="0"/>
        <w:tabs>
          <w:tab w:leader="none" w:pos="704"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Investment Assurances. </w:t>
      </w:r>
      <w:r>
        <w:rPr>
          <w:rFonts w:ascii="Times New Roman" w:cs="Times New Roman" w:eastAsia="Times New Roman" w:hAnsi="Times New Roman"/>
          <w:sz w:val="18"/>
          <w:szCs w:val="18"/>
          <w:color w:val="auto"/>
        </w:rPr>
        <w:t>The Company may require a Participant, as a condition of exercising or acquiring Common Stock under any Award,</w:t>
      </w:r>
    </w:p>
    <w:p>
      <w:pPr>
        <w:spacing w:after="0" w:line="31" w:lineRule="exact"/>
        <w:rPr>
          <w:rFonts w:ascii="Times New Roman" w:cs="Times New Roman" w:eastAsia="Times New Roman" w:hAnsi="Times New Roman"/>
          <w:sz w:val="18"/>
          <w:szCs w:val="18"/>
          <w:b w:val="1"/>
          <w:bCs w:val="1"/>
          <w:color w:val="auto"/>
        </w:rPr>
      </w:pPr>
    </w:p>
    <w:p>
      <w:pPr>
        <w:ind w:left="4" w:hanging="4"/>
        <w:spacing w:after="0" w:line="251" w:lineRule="auto"/>
        <w:tabs>
          <w:tab w:leader="none" w:pos="21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such Participant is capable of evaluating, alone or together with the purchaser representative, the merits and risks of exercising the Award; and (ii) to give written assurances satisfactory to the Company stating that the Participant is acquiring Common Stock subject to the Award for the Participant’s own account and not with any present intention of selling or otherwise distributing the Common Stock. The foregoing requirements, and any assurances given pursuant to such requirements, will be inoperative if (A) the issuance of the shares upon the exercise or acquisition of Common Stock under the Stock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188" w:lineRule="exact"/>
        <w:rPr>
          <w:rFonts w:ascii="Times New Roman" w:cs="Times New Roman" w:eastAsia="Times New Roman" w:hAnsi="Times New Roman"/>
          <w:sz w:val="18"/>
          <w:szCs w:val="18"/>
          <w:color w:val="auto"/>
        </w:rPr>
      </w:pPr>
    </w:p>
    <w:p>
      <w:pPr>
        <w:ind w:left="4" w:right="100" w:firstLine="436"/>
        <w:spacing w:after="0" w:line="256" w:lineRule="auto"/>
        <w:tabs>
          <w:tab w:leader="none" w:pos="709"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Obligations. </w:t>
      </w:r>
      <w:r>
        <w:rPr>
          <w:rFonts w:ascii="Times New Roman" w:cs="Times New Roman" w:eastAsia="Times New Roman" w:hAnsi="Times New Roman"/>
          <w:sz w:val="18"/>
          <w:szCs w:val="18"/>
          <w:color w:val="auto"/>
        </w:rPr>
        <w:t>Unless prohibited by the terms of an Award Agreement, the Company may, in its sole discretion, satisfy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federal, state or local tax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Stock Award;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shares of Common Stock are withheld with a value exceeding the maximum amount of tax required to be withheld by law (or such lesser amount as may be necessary to avoid classification of the Stock Award as a liability for financial accounting purposes); (iii) withholding cash from an Award settled in cash; (iv) withholding payment from any amounts otherwise payable to the Participant; or (v) by such other method as may be set forth in the Award Agreement.</w:t>
      </w:r>
    </w:p>
    <w:p>
      <w:pPr>
        <w:spacing w:after="0" w:line="182" w:lineRule="exact"/>
        <w:rPr>
          <w:rFonts w:ascii="Times New Roman" w:cs="Times New Roman" w:eastAsia="Times New Roman" w:hAnsi="Times New Roman"/>
          <w:sz w:val="18"/>
          <w:szCs w:val="18"/>
          <w:b w:val="1"/>
          <w:bCs w:val="1"/>
          <w:color w:val="auto"/>
        </w:rPr>
      </w:pPr>
    </w:p>
    <w:p>
      <w:pPr>
        <w:ind w:left="4" w:right="80" w:firstLine="436"/>
        <w:spacing w:after="0" w:line="268" w:lineRule="auto"/>
        <w:tabs>
          <w:tab w:leader="none" w:pos="659"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Electronic Delivery</w:t>
      </w:r>
      <w:r>
        <w:rPr>
          <w:rFonts w:ascii="Times New Roman" w:cs="Times New Roman" w:eastAsia="Times New Roman" w:hAnsi="Times New Roman"/>
          <w:sz w:val="18"/>
          <w:szCs w:val="18"/>
          <w:color w:val="auto"/>
        </w:rPr>
        <w:t>. Any reference herein to a “written” agreement or document will include any agreement or document delivered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electronically, filed publicly at www.sec.gov (or any successor website thereto) or posted on the Company’s intranet (or other shared electronic medium controlled by the Company to which the Participant has access).</w:t>
      </w:r>
    </w:p>
    <w:p>
      <w:pPr>
        <w:spacing w:after="0" w:line="170" w:lineRule="exact"/>
        <w:rPr>
          <w:rFonts w:ascii="Times New Roman" w:cs="Times New Roman" w:eastAsia="Times New Roman" w:hAnsi="Times New Roman"/>
          <w:sz w:val="18"/>
          <w:szCs w:val="18"/>
          <w:b w:val="1"/>
          <w:bCs w:val="1"/>
          <w:color w:val="auto"/>
        </w:rPr>
      </w:pPr>
    </w:p>
    <w:p>
      <w:pPr>
        <w:ind w:left="4" w:right="40" w:firstLine="436"/>
        <w:spacing w:after="0" w:line="256" w:lineRule="auto"/>
        <w:tabs>
          <w:tab w:leader="none" w:pos="669"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Deferrals. </w:t>
      </w:r>
      <w:r>
        <w:rPr>
          <w:rFonts w:ascii="Times New Roman" w:cs="Times New Roman" w:eastAsia="Times New Roman" w:hAnsi="Times New Roman"/>
          <w:sz w:val="18"/>
          <w:szCs w:val="18"/>
          <w:color w:val="auto"/>
        </w:rPr>
        <w:t>To the extent permitted by applicable law, the Board, in its sole discretion, may determine that the delivery of Common Stock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of cash, upon the exercise, vesting or settlement of all or a portion of any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The Board is authorized to make deferrals of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182" w:lineRule="exact"/>
        <w:rPr>
          <w:rFonts w:ascii="Times New Roman" w:cs="Times New Roman" w:eastAsia="Times New Roman" w:hAnsi="Times New Roman"/>
          <w:sz w:val="18"/>
          <w:szCs w:val="18"/>
          <w:b w:val="1"/>
          <w:bCs w:val="1"/>
          <w:color w:val="auto"/>
        </w:rPr>
      </w:pPr>
    </w:p>
    <w:p>
      <w:pPr>
        <w:ind w:left="4" w:right="120" w:firstLine="436"/>
        <w:spacing w:after="0" w:line="255" w:lineRule="auto"/>
        <w:tabs>
          <w:tab w:leader="none" w:pos="709"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Clawback/Recovery</w:t>
      </w:r>
      <w:r>
        <w:rPr>
          <w:rFonts w:ascii="Times New Roman" w:cs="Times New Roman" w:eastAsia="Times New Roman" w:hAnsi="Times New Roman"/>
          <w:sz w:val="18"/>
          <w:szCs w:val="18"/>
          <w:color w:val="auto"/>
        </w:rPr>
        <w:t>. All Awards granted under the Plan will be subject to recoupment in accordance with any clawback policy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an event constituting Cause. No recovery of compensation under such a clawback policy will be an event giving rise to a right to voluntary terminate employment upon a “resignation for good reason,” or for a “constructive termination” or any similar term under any plan of or agreement with the Company.</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4"/>
          </w:cols>
          <w:pgMar w:left="436" w:top="266" w:right="439" w:bottom="1440" w:gutter="0" w:footer="0" w:header="0"/>
        </w:sectPr>
      </w:pPr>
    </w:p>
    <w:bookmarkStart w:id="17" w:name="page18"/>
    <w:bookmarkEnd w:id="17"/>
    <w:p>
      <w:pPr>
        <w:ind w:left="4" w:firstLine="436"/>
        <w:spacing w:after="0" w:line="253" w:lineRule="auto"/>
        <w:tabs>
          <w:tab w:leader="none" w:pos="659"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Compliance with Section 409A of the Code. </w:t>
      </w:r>
      <w:r>
        <w:rPr>
          <w:rFonts w:ascii="Times New Roman" w:cs="Times New Roman" w:eastAsia="Times New Roman" w:hAnsi="Times New Roman"/>
          <w:sz w:val="18"/>
          <w:szCs w:val="18"/>
          <w:color w:val="auto"/>
        </w:rPr>
        <w:t>Unless otherwise expressly provided for in an Award Agreement, the Plan and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will be interpreted to the greatest extent possible in a manner that makes the Plan and the Awards granted hereunder exempt from Section 409A of the Code, and, to the extent not so exempt, in compliance with Section 409A of the Code. If the Board determines that any Award granted hereunder is not exempt from and is therefore subject to Section 409A of the Code,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Participant’s “separation from service” or, if earlier, the date of the Participant’s death, unless such distribution or payment can be made in a manner that complies with Section 409A of the Code, and any amounts so deferred will be paid in a lump sum on the day after such six month period elapses, with the balance paid thereafter on the original schedule.</w:t>
      </w:r>
    </w:p>
    <w:p>
      <w:pPr>
        <w:spacing w:after="0" w:line="335"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DJUSTMENTS UPON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HANGES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VENTS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4" w:right="20" w:firstLine="436"/>
        <w:spacing w:after="0" w:line="257" w:lineRule="auto"/>
        <w:tabs>
          <w:tab w:leader="none" w:pos="699"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Adjustments</w:t>
      </w:r>
      <w:r>
        <w:rPr>
          <w:rFonts w:ascii="Times New Roman" w:cs="Times New Roman" w:eastAsia="Times New Roman" w:hAnsi="Times New Roman"/>
          <w:sz w:val="18"/>
          <w:szCs w:val="18"/>
          <w:color w:val="auto"/>
        </w:rPr>
        <w:t>. In the event of a Capitalization Adjustment, the Board will appropriately and proportionately adjust: (i)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class(es) and maximum number of securities subject to the Plan pursuant to Section 3(a), (ii) the class(es) and maximum number of securities by which the share reserve is to increase automatically each year pursuant to Section 3(a), (iii) the class(es) and maximum number of securities that may be issued pursuant to the exercise of Incentive Stock Options pursuant to Section 3(c), (iv) the class(es) and maximum number of securities that may be awarded to any Non-Employee Director pursuant to Section 3(d), and (v) the class(es) and number of securities and price per share of stock subject to outstanding Stock Awards. The Board will make such adjustments, and its determination will be final, binding and conclusive.</w:t>
      </w:r>
    </w:p>
    <w:p>
      <w:pPr>
        <w:spacing w:after="0" w:line="182" w:lineRule="exact"/>
        <w:rPr>
          <w:rFonts w:ascii="Times New Roman" w:cs="Times New Roman" w:eastAsia="Times New Roman" w:hAnsi="Times New Roman"/>
          <w:sz w:val="18"/>
          <w:szCs w:val="18"/>
          <w:b w:val="1"/>
          <w:bCs w:val="1"/>
          <w:color w:val="auto"/>
        </w:rPr>
      </w:pPr>
    </w:p>
    <w:p>
      <w:pPr>
        <w:ind w:left="4" w:right="20" w:firstLine="436"/>
        <w:spacing w:after="0" w:line="256" w:lineRule="auto"/>
        <w:tabs>
          <w:tab w:leader="none" w:pos="709"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Dissolution</w:t>
      </w:r>
      <w:r>
        <w:rPr>
          <w:rFonts w:ascii="Times New Roman" w:cs="Times New Roman" w:eastAsia="Times New Roman" w:hAnsi="Times New Roman"/>
          <w:sz w:val="18"/>
          <w:szCs w:val="18"/>
          <w:color w:val="auto"/>
        </w:rPr>
        <w:t>. Except as otherwise provided in the Stock Award Agreement, in the event of a Dissolution of the Company, all outstanding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Awards (other than Stock Awards consisting of vested and outstanding shares of Common Stock not subject to a forfeiture condition or the Company’s right of repurchase) will terminate immediately prior to the completion of such Dissolution, and the shares of Common Stock subject to the Company’s repurchase rights or subject to a forfeiture condition may be repurchased or reacquired by the Company notwithstanding the fact that the holder of such Stock Award is providing Continuous Service;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Board may, in its sole discretion, cause some or all Stock Awards to become fully vested, exercisable and/or no longer subject to repurchase or forfeiture (to the extent such Stock Awards have not previously expired or terminated) before the Dissolution is completed but contingent on its completion.</w:t>
      </w:r>
    </w:p>
    <w:p>
      <w:pPr>
        <w:spacing w:after="0" w:line="182" w:lineRule="exact"/>
        <w:rPr>
          <w:rFonts w:ascii="Times New Roman" w:cs="Times New Roman" w:eastAsia="Times New Roman" w:hAnsi="Times New Roman"/>
          <w:sz w:val="18"/>
          <w:szCs w:val="18"/>
          <w:b w:val="1"/>
          <w:bCs w:val="1"/>
          <w:color w:val="auto"/>
        </w:rPr>
      </w:pPr>
    </w:p>
    <w:p>
      <w:pPr>
        <w:ind w:left="4" w:right="220" w:firstLine="436"/>
        <w:spacing w:after="0" w:line="282" w:lineRule="auto"/>
        <w:tabs>
          <w:tab w:leader="none" w:pos="689" w:val="left"/>
        </w:tabs>
        <w:numPr>
          <w:ilvl w:val="1"/>
          <w:numId w:val="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Transaction. </w:t>
      </w:r>
      <w:r>
        <w:rPr>
          <w:rFonts w:ascii="Times New Roman" w:cs="Times New Roman" w:eastAsia="Times New Roman" w:hAnsi="Times New Roman"/>
          <w:sz w:val="17"/>
          <w:szCs w:val="17"/>
          <w:color w:val="auto"/>
        </w:rPr>
        <w:t>The following provisions will apply to Stock Awards in the event of a Transaction unless otherwise provided in the instrument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evidencing the Stock Award or any other written agreement between the Company or any Affiliate and the Participant or unless otherwise expressly provided by the Board at the time of grant of a Stock Award. In the event of a Transaction, then, notwithstanding any other provision of the Plan, the Board may take one or more of the following actions with respect to Stock Awards, contingent upon the closing or completion of the Transaction:</w:t>
      </w:r>
    </w:p>
    <w:p>
      <w:pPr>
        <w:spacing w:after="0" w:line="57" w:lineRule="exact"/>
        <w:rPr>
          <w:rFonts w:ascii="Times New Roman" w:cs="Times New Roman" w:eastAsia="Times New Roman" w:hAnsi="Times New Roman"/>
          <w:sz w:val="17"/>
          <w:szCs w:val="17"/>
          <w:b w:val="1"/>
          <w:bCs w:val="1"/>
          <w:color w:val="auto"/>
        </w:rPr>
      </w:pPr>
    </w:p>
    <w:p>
      <w:pPr>
        <w:ind w:left="4" w:right="160" w:firstLine="987"/>
        <w:spacing w:after="0" w:line="266" w:lineRule="auto"/>
        <w:tabs>
          <w:tab w:leader="none" w:pos="1210" w:val="left"/>
        </w:tabs>
        <w:numPr>
          <w:ilvl w:val="2"/>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stockholders of the Company pursuant to the Transaction);</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66" w:right="459" w:bottom="1440" w:gutter="0" w:footer="0" w:header="0"/>
        </w:sectPr>
      </w:pPr>
    </w:p>
    <w:bookmarkStart w:id="18" w:name="page19"/>
    <w:bookmarkEnd w:id="18"/>
    <w:p>
      <w:pPr>
        <w:ind w:left="4" w:right="60" w:firstLine="987"/>
        <w:spacing w:after="0" w:line="282" w:lineRule="auto"/>
        <w:tabs>
          <w:tab w:leader="none" w:pos="12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arrange for the assignment of any reacquisition or repurchase rights held by the Company in respect of Common Stock issued pursuant to the Stock Award to the surviving corporation or acquiring corporation (or the surviving or acquiring corporation’s parent company);</w:t>
      </w:r>
    </w:p>
    <w:p>
      <w:pPr>
        <w:spacing w:after="0" w:line="161" w:lineRule="exact"/>
        <w:rPr>
          <w:rFonts w:ascii="Times New Roman" w:cs="Times New Roman" w:eastAsia="Times New Roman" w:hAnsi="Times New Roman"/>
          <w:sz w:val="18"/>
          <w:szCs w:val="18"/>
          <w:b w:val="1"/>
          <w:bCs w:val="1"/>
          <w:color w:val="auto"/>
        </w:rPr>
      </w:pPr>
    </w:p>
    <w:p>
      <w:pPr>
        <w:ind w:left="4" w:right="220" w:firstLine="987"/>
        <w:spacing w:after="0" w:line="258" w:lineRule="auto"/>
        <w:tabs>
          <w:tab w:leader="none" w:pos="131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accelerate the vesting, in whole or in part, of the Stock Award (and, if applicable, the time at which the Stock Award may be exercised) to a date prior to the effective time of such Transaction as the Board determines (or, if the Board does not determine such a date, to the date that is five days prior to the effective date of the Transaction), with such Stock Award terminating if not exercised (if applicable) at or prior to the effective time of the Transaction;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Board may require Participants to complete and deliver to the Company a notice of exercise before the effective date of a Transaction, which exercise is contingent upon the effectiveness of such Transaction;</w:t>
      </w:r>
    </w:p>
    <w:p>
      <w:pPr>
        <w:spacing w:after="0" w:line="183" w:lineRule="exact"/>
        <w:rPr>
          <w:rFonts w:ascii="Times New Roman" w:cs="Times New Roman" w:eastAsia="Times New Roman" w:hAnsi="Times New Roman"/>
          <w:sz w:val="18"/>
          <w:szCs w:val="18"/>
          <w:b w:val="1"/>
          <w:bCs w:val="1"/>
          <w:color w:val="auto"/>
        </w:rPr>
      </w:pPr>
    </w:p>
    <w:p>
      <w:pPr>
        <w:ind w:left="1304" w:hanging="313"/>
        <w:spacing w:after="0"/>
        <w:tabs>
          <w:tab w:leader="none" w:pos="1304"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arrange for the lapse, in whole or in part, of any reacquisition or repurchase rights held by the Company with respect to the Stock</w:t>
      </w:r>
    </w:p>
    <w:p>
      <w:pPr>
        <w:spacing w:after="0" w:line="27" w:lineRule="exact"/>
        <w:rPr>
          <w:rFonts w:ascii="Times New Roman" w:cs="Times New Roman" w:eastAsia="Times New Roman" w:hAnsi="Times New Roman"/>
          <w:sz w:val="18"/>
          <w:szCs w:val="18"/>
          <w:b w:val="1"/>
          <w:bCs w:val="1"/>
          <w:color w:val="auto"/>
        </w:rPr>
      </w:pPr>
    </w:p>
    <w:p>
      <w:pPr>
        <w:ind w:left="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Award;</w:t>
      </w:r>
    </w:p>
    <w:p>
      <w:pPr>
        <w:spacing w:after="0" w:line="206" w:lineRule="exact"/>
        <w:rPr>
          <w:rFonts w:ascii="Times New Roman" w:cs="Times New Roman" w:eastAsia="Times New Roman" w:hAnsi="Times New Roman"/>
          <w:sz w:val="18"/>
          <w:szCs w:val="18"/>
          <w:b w:val="1"/>
          <w:bCs w:val="1"/>
          <w:color w:val="auto"/>
        </w:rPr>
      </w:pPr>
    </w:p>
    <w:p>
      <w:pPr>
        <w:ind w:left="4" w:right="380" w:firstLine="987"/>
        <w:spacing w:after="0" w:line="282" w:lineRule="auto"/>
        <w:tabs>
          <w:tab w:leader="none" w:pos="125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cancel or arrange for the cancellation of the Stock Award, to the extent not vested or not exercised prior to the effective time of the Transaction, in exchange for such cash consideration, if any, as the Board, in its sole discretion, may consider appropriate; and</w:t>
      </w:r>
    </w:p>
    <w:p>
      <w:pPr>
        <w:spacing w:after="0" w:line="161" w:lineRule="exact"/>
        <w:rPr>
          <w:rFonts w:ascii="Times New Roman" w:cs="Times New Roman" w:eastAsia="Times New Roman" w:hAnsi="Times New Roman"/>
          <w:sz w:val="18"/>
          <w:szCs w:val="18"/>
          <w:b w:val="1"/>
          <w:bCs w:val="1"/>
          <w:color w:val="auto"/>
        </w:rPr>
      </w:pPr>
    </w:p>
    <w:p>
      <w:pPr>
        <w:ind w:left="4" w:right="40" w:firstLine="987"/>
        <w:spacing w:after="0" w:line="258" w:lineRule="auto"/>
        <w:tabs>
          <w:tab w:leader="none" w:pos="13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make a payment, in such form as may be determined by the Board equal to the excess, if any, of (A) the value of the property the Participant would have received upon the exercise of the Stock Award immediately prior to the effective time of the Transaction, over (B) any exercise price payable by such holder in connection with such exercise. For clarity, this payment may be $0 if the value of the property is equal to or less than the exercise price. Payments under this provision may be delayed to the same extent that payment of consideration to the holders of the Company’s Common Stock in connection with the Transaction is delayed as a result of escrows, earn outs, holdbacks or any other contingencies.</w:t>
      </w:r>
    </w:p>
    <w:p>
      <w:pPr>
        <w:spacing w:after="0" w:line="183" w:lineRule="exact"/>
        <w:rPr>
          <w:sz w:val="20"/>
          <w:szCs w:val="20"/>
          <w:color w:val="auto"/>
        </w:rPr>
      </w:pPr>
    </w:p>
    <w:p>
      <w:pPr>
        <w:ind w:left="4" w:right="360" w:firstLine="440"/>
        <w:spacing w:after="0" w:line="282" w:lineRule="auto"/>
        <w:rPr>
          <w:sz w:val="20"/>
          <w:szCs w:val="20"/>
          <w:color w:val="auto"/>
        </w:rPr>
      </w:pPr>
      <w:r>
        <w:rPr>
          <w:rFonts w:ascii="Times New Roman" w:cs="Times New Roman" w:eastAsia="Times New Roman" w:hAnsi="Times New Roman"/>
          <w:sz w:val="18"/>
          <w:szCs w:val="18"/>
          <w:color w:val="auto"/>
        </w:rPr>
        <w:t>The Board need not take the same action or actions with respect to all Stock Awards or portions thereof or with respect to all Participants. The Board may take different actions with respect to the vested and unvested portions of a Stock Award.</w:t>
      </w:r>
    </w:p>
    <w:p>
      <w:pPr>
        <w:spacing w:after="0" w:line="158" w:lineRule="exact"/>
        <w:rPr>
          <w:sz w:val="20"/>
          <w:szCs w:val="20"/>
          <w:color w:val="auto"/>
        </w:rPr>
      </w:pPr>
    </w:p>
    <w:p>
      <w:pPr>
        <w:jc w:val="both"/>
        <w:ind w:left="4" w:right="160" w:firstLine="436"/>
        <w:spacing w:after="0" w:line="268" w:lineRule="auto"/>
        <w:tabs>
          <w:tab w:leader="none" w:pos="709"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in Control. </w:t>
      </w:r>
      <w:r>
        <w:rPr>
          <w:rFonts w:ascii="Times New Roman" w:cs="Times New Roman" w:eastAsia="Times New Roman" w:hAnsi="Times New Roman"/>
          <w:sz w:val="18"/>
          <w:szCs w:val="18"/>
          <w:color w:val="auto"/>
        </w:rPr>
        <w:t>A Stock Award may be subject to additional acceleration of vesting and exercisability upon or after a Change in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may be provided in the Stock Award Agreement for such Stock Award or as may be provided in any other written agreement between the Company or any Affiliate and the Participant, but in the absence of such provision, no such acceleration will occur.</w:t>
      </w:r>
    </w:p>
    <w:p>
      <w:pPr>
        <w:spacing w:after="0" w:line="319"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ERM</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4"/>
          <w:szCs w:val="14"/>
          <w:b w:val="1"/>
          <w:bCs w:val="1"/>
          <w:color w:val="auto"/>
        </w:rPr>
        <w:t>ARLIER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ERMINATION OR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USPENSION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Board may suspend or terminate the Plan at any time. No Incentive Stock Options may be granted after the tenth anniversary of the earlier of</w:t>
      </w:r>
    </w:p>
    <w:p>
      <w:pPr>
        <w:spacing w:after="0" w:line="27" w:lineRule="exact"/>
        <w:rPr>
          <w:sz w:val="20"/>
          <w:szCs w:val="20"/>
          <w:color w:val="auto"/>
        </w:rPr>
      </w:pPr>
    </w:p>
    <w:p>
      <w:pPr>
        <w:ind w:left="4" w:hanging="4"/>
        <w:spacing w:after="0" w:line="260" w:lineRule="auto"/>
        <w:tabs>
          <w:tab w:leader="none" w:pos="21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Date, or (ii) the date the Plan is approved by the stockholders of the Company. No Awards may be granted under the Plan while the Plan is suspended or after it is terminated.</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4"/>
          </w:cols>
          <w:pgMar w:left="436" w:top="270" w:right="439" w:bottom="1440" w:gutter="0" w:footer="0" w:header="0"/>
        </w:sectPr>
      </w:pPr>
    </w:p>
    <w:bookmarkStart w:id="19" w:name="page20"/>
    <w:bookmarkEnd w:id="19"/>
    <w:p>
      <w:pPr>
        <w:ind w:left="424" w:hanging="424"/>
        <w:spacing w:after="0"/>
        <w:tabs>
          <w:tab w:leader="none" w:pos="424"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w:t>
      </w:r>
      <w:r>
        <w:rPr>
          <w:rFonts w:ascii="Times New Roman" w:cs="Times New Roman" w:eastAsia="Times New Roman" w:hAnsi="Times New Roman"/>
          <w:sz w:val="14"/>
          <w:szCs w:val="14"/>
          <w:b w:val="1"/>
          <w:bCs w:val="1"/>
          <w:color w:val="auto"/>
        </w:rPr>
        <w:t>XISTENCE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4"/>
          <w:szCs w:val="14"/>
          <w:b w:val="1"/>
          <w:bCs w:val="1"/>
          <w:color w:val="auto"/>
        </w:rPr>
        <w:t>IMING OF</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IRST</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RANT OR</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8"/>
          <w:szCs w:val="18"/>
          <w:b w:val="1"/>
          <w:bCs w:val="1"/>
          <w:color w:val="auto"/>
        </w:rPr>
        <w:t>.</w:t>
      </w:r>
    </w:p>
    <w:p>
      <w:pPr>
        <w:spacing w:after="0" w:line="119"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Plan, as amended and restated hereby, will come into existence on the Adoption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Stock Award granted prior to the Effective Date shall be subject to the approval of the Plan by the stockholders of the Company. In addition, no Stock Award will be exercised (or, in the case of a Restricted Stock Award, Restricted Stock Unit Award, Performance Stock Award, or Other Stock Award, no Stock Award will be granted) and no Performance Cash Award will be settled unless and until the Plan has been approved by the stockholders of the Company, which approval will be within 12 months after the date the Plan is adopted by the Board.</w:t>
      </w:r>
    </w:p>
    <w:p>
      <w:pPr>
        <w:spacing w:after="0" w:line="330" w:lineRule="exact"/>
        <w:rPr>
          <w:sz w:val="20"/>
          <w:szCs w:val="20"/>
          <w:color w:val="auto"/>
        </w:rPr>
      </w:pPr>
    </w:p>
    <w:p>
      <w:pPr>
        <w:ind w:left="424" w:hanging="424"/>
        <w:spacing w:after="0"/>
        <w:tabs>
          <w:tab w:leader="none" w:pos="424"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HOICE OF</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AW</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The laws of the State of Delaware will govern all questions concerning the construction, validity and interpretation of this Plan, without regard to that state’s conflict of laws rules.</w:t>
      </w:r>
    </w:p>
    <w:p>
      <w:pPr>
        <w:spacing w:after="0" w:line="266" w:lineRule="exact"/>
        <w:rPr>
          <w:sz w:val="20"/>
          <w:szCs w:val="20"/>
          <w:color w:val="auto"/>
        </w:rPr>
      </w:pPr>
    </w:p>
    <w:p>
      <w:pPr>
        <w:ind w:left="264" w:hanging="264"/>
        <w:spacing w:after="0"/>
        <w:tabs>
          <w:tab w:leader="none" w:pos="264"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EFINITIONS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used in the Plan, the following definitions will apply to the capitalized terms indicated below:</w:t>
      </w:r>
    </w:p>
    <w:p>
      <w:pPr>
        <w:spacing w:after="0" w:line="117"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Adoption Date</w:t>
      </w:r>
      <w:r>
        <w:rPr>
          <w:rFonts w:ascii="Times New Roman" w:cs="Times New Roman" w:eastAsia="Times New Roman" w:hAnsi="Times New Roman"/>
          <w:sz w:val="18"/>
          <w:szCs w:val="18"/>
          <w:color w:val="auto"/>
        </w:rPr>
        <w:t>” means the date the Plan, as amended and restated hereby, is first approved by the Board.</w:t>
      </w:r>
    </w:p>
    <w:p>
      <w:pPr>
        <w:spacing w:after="0" w:line="225" w:lineRule="exact"/>
        <w:rPr>
          <w:rFonts w:ascii="Times New Roman" w:cs="Times New Roman" w:eastAsia="Times New Roman" w:hAnsi="Times New Roman"/>
          <w:sz w:val="18"/>
          <w:szCs w:val="18"/>
          <w:b w:val="1"/>
          <w:bCs w:val="1"/>
          <w:color w:val="auto"/>
        </w:rPr>
      </w:pPr>
    </w:p>
    <w:p>
      <w:pPr>
        <w:ind w:left="4" w:right="380" w:firstLine="436"/>
        <w:spacing w:after="0" w:line="268" w:lineRule="auto"/>
        <w:tabs>
          <w:tab w:leader="none" w:pos="709"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of the Securities Act. The Board will have the authority to determine the time or times at which “parent” or “subsidiary” status is determined within the foregoing definition.</w:t>
      </w:r>
    </w:p>
    <w:p>
      <w:pPr>
        <w:spacing w:after="0" w:line="170" w:lineRule="exact"/>
        <w:rPr>
          <w:rFonts w:ascii="Times New Roman" w:cs="Times New Roman" w:eastAsia="Times New Roman" w:hAnsi="Times New Roman"/>
          <w:sz w:val="18"/>
          <w:szCs w:val="18"/>
          <w:b w:val="1"/>
          <w:bCs w:val="1"/>
          <w:color w:val="auto"/>
        </w:rPr>
      </w:pPr>
    </w:p>
    <w:p>
      <w:pPr>
        <w:ind w:left="684" w:hanging="244"/>
        <w:spacing w:after="0"/>
        <w:tabs>
          <w:tab w:leader="none" w:pos="684"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a Stock Award or a Performance Cash Award.</w:t>
      </w:r>
    </w:p>
    <w:p>
      <w:pPr>
        <w:spacing w:after="0" w:line="225"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 written agreement between the Company and a Participant evidencing the terms and conditions of an Award.</w:t>
      </w:r>
    </w:p>
    <w:p>
      <w:pPr>
        <w:spacing w:after="0" w:line="225" w:lineRule="exact"/>
        <w:rPr>
          <w:rFonts w:ascii="Times New Roman" w:cs="Times New Roman" w:eastAsia="Times New Roman" w:hAnsi="Times New Roman"/>
          <w:sz w:val="18"/>
          <w:szCs w:val="18"/>
          <w:b w:val="1"/>
          <w:bCs w:val="1"/>
          <w:color w:val="auto"/>
        </w:rPr>
      </w:pPr>
    </w:p>
    <w:p>
      <w:pPr>
        <w:ind w:left="684" w:hanging="244"/>
        <w:spacing w:after="0"/>
        <w:tabs>
          <w:tab w:leader="none" w:pos="684"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b w:val="1"/>
          <w:bCs w:val="1"/>
          <w:color w:val="auto"/>
        </w:rPr>
      </w:pPr>
    </w:p>
    <w:p>
      <w:pPr>
        <w:ind w:left="664" w:hanging="224"/>
        <w:spacing w:after="0"/>
        <w:tabs>
          <w:tab w:leader="none" w:pos="664"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Stock</w:t>
      </w:r>
      <w:r>
        <w:rPr>
          <w:rFonts w:ascii="Times New Roman" w:cs="Times New Roman" w:eastAsia="Times New Roman" w:hAnsi="Times New Roman"/>
          <w:sz w:val="18"/>
          <w:szCs w:val="18"/>
          <w:color w:val="auto"/>
        </w:rPr>
        <w:t>” means each and every class of common stock of the Company, regardless of the number of votes per share.</w:t>
      </w:r>
    </w:p>
    <w:p>
      <w:pPr>
        <w:spacing w:after="0" w:line="225" w:lineRule="exact"/>
        <w:rPr>
          <w:rFonts w:ascii="Times New Roman" w:cs="Times New Roman" w:eastAsia="Times New Roman" w:hAnsi="Times New Roman"/>
          <w:sz w:val="18"/>
          <w:szCs w:val="18"/>
          <w:b w:val="1"/>
          <w:bCs w:val="1"/>
          <w:color w:val="auto"/>
        </w:rPr>
      </w:pPr>
    </w:p>
    <w:p>
      <w:pPr>
        <w:ind w:left="4" w:right="60" w:firstLine="436"/>
        <w:spacing w:after="0" w:line="275" w:lineRule="auto"/>
        <w:tabs>
          <w:tab w:leader="none" w:pos="699" w:val="left"/>
        </w:tabs>
        <w:numPr>
          <w:ilvl w:val="1"/>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Capitalization Adjustment</w:t>
      </w:r>
      <w:r>
        <w:rPr>
          <w:rFonts w:ascii="Times New Roman" w:cs="Times New Roman" w:eastAsia="Times New Roman" w:hAnsi="Times New Roman"/>
          <w:sz w:val="17"/>
          <w:szCs w:val="17"/>
          <w:color w:val="auto"/>
        </w:rPr>
        <w:t>” means any change that is made in, or other events that occur with respect to, the Common Stock subject to the Plan or subject to any Stock Award after the Adoption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68" w:lineRule="exact"/>
        <w:rPr>
          <w:rFonts w:ascii="Times New Roman" w:cs="Times New Roman" w:eastAsia="Times New Roman" w:hAnsi="Times New Roman"/>
          <w:sz w:val="17"/>
          <w:szCs w:val="17"/>
          <w:b w:val="1"/>
          <w:bCs w:val="1"/>
          <w:color w:val="auto"/>
        </w:rPr>
      </w:pPr>
    </w:p>
    <w:p>
      <w:pPr>
        <w:ind w:left="4" w:right="120" w:firstLine="436"/>
        <w:spacing w:after="0" w:line="259" w:lineRule="auto"/>
        <w:tabs>
          <w:tab w:leader="none" w:pos="709"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shall have the meaning ascribed to such term in any written agreement between the Participant and the Company defining such term and, in the absence of such agreement, such term means, with respect to a Participant, the occurrence of any of the following events: (i) such Participant’s commission of any felony or any crime involving fraud, dishonesty or moral turpitude under the laws of the United States or any state thereof; (ii) such Participant’s attempted commission of, or participation in, a fraud or act of dishonesty against the Company; (iii) such Participant’s intentional, material violation of</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66" w:right="459" w:bottom="1440" w:gutter="0" w:footer="0" w:header="0"/>
        </w:sectPr>
      </w:pPr>
    </w:p>
    <w:bookmarkStart w:id="20" w:name="page21"/>
    <w:bookmarkEnd w:id="20"/>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contract or agreement between the Participant and the Company or of any statutory duty owed to the Company; (iv) such Participant’s unauthorized use or disclosure of the Company’s confidential information or trade secrets; or (v) such Participant’s gross misconduct. The determination that a termination of the Participant’s Continuous Service is either for Cause or without Cause shall be made by the Company, in its sole discretion. Any determination by the Company that the Continuous Service of a Participant was terminated with or without Cause for the purposes of outstanding Awards held by such Participant shall have no effect upon any determination of the rights or obligations of the Company or such Participant for any other purpose.</w:t>
      </w:r>
    </w:p>
    <w:p>
      <w:pPr>
        <w:spacing w:after="0" w:line="183" w:lineRule="exact"/>
        <w:rPr>
          <w:sz w:val="20"/>
          <w:szCs w:val="20"/>
          <w:color w:val="auto"/>
        </w:rPr>
      </w:pPr>
    </w:p>
    <w:p>
      <w:pPr>
        <w:ind w:left="660" w:hanging="224"/>
        <w:spacing w:after="0"/>
        <w:tabs>
          <w:tab w:leader="none" w:pos="6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means the occurrence, in a single transaction or in a series of related transactions, of any one or more of the following</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events:</w:t>
      </w:r>
    </w:p>
    <w:p>
      <w:pPr>
        <w:spacing w:after="0" w:line="98" w:lineRule="exact"/>
        <w:rPr>
          <w:rFonts w:ascii="Times New Roman" w:cs="Times New Roman" w:eastAsia="Times New Roman" w:hAnsi="Times New Roman"/>
          <w:sz w:val="18"/>
          <w:szCs w:val="18"/>
          <w:b w:val="1"/>
          <w:bCs w:val="1"/>
          <w:color w:val="auto"/>
        </w:rPr>
      </w:pPr>
    </w:p>
    <w:p>
      <w:pPr>
        <w:ind w:firstLine="987"/>
        <w:spacing w:after="0" w:line="252" w:lineRule="auto"/>
        <w:tabs>
          <w:tab w:leader="none" w:pos="1206"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(C) on account of the acquisition of securities of the Company by any individual who is, on the IPO Date, either an executive officer or a Director (either, an “</w:t>
      </w:r>
      <w:r>
        <w:rPr>
          <w:rFonts w:ascii="Times New Roman" w:cs="Times New Roman" w:eastAsia="Times New Roman" w:hAnsi="Times New Roman"/>
          <w:sz w:val="18"/>
          <w:szCs w:val="18"/>
          <w:b w:val="1"/>
          <w:bCs w:val="1"/>
          <w:i w:val="1"/>
          <w:iCs w:val="1"/>
          <w:color w:val="auto"/>
        </w:rPr>
        <w:t>IPO Investor</w:t>
      </w:r>
      <w:r>
        <w:rPr>
          <w:rFonts w:ascii="Times New Roman" w:cs="Times New Roman" w:eastAsia="Times New Roman" w:hAnsi="Times New Roman"/>
          <w:sz w:val="18"/>
          <w:szCs w:val="18"/>
          <w:color w:val="auto"/>
        </w:rPr>
        <w:t>”) and/or any entity in which an IPO Investor has a direct or indirect interest (whether in the form of voting rights or participation in profits or capital contributions) of more than 50% (collectively, the “</w:t>
      </w:r>
      <w:r>
        <w:rPr>
          <w:rFonts w:ascii="Times New Roman" w:cs="Times New Roman" w:eastAsia="Times New Roman" w:hAnsi="Times New Roman"/>
          <w:sz w:val="18"/>
          <w:szCs w:val="18"/>
          <w:b w:val="1"/>
          <w:bCs w:val="1"/>
          <w:i w:val="1"/>
          <w:iCs w:val="1"/>
          <w:color w:val="auto"/>
        </w:rPr>
        <w:t>IPO Entities</w:t>
      </w:r>
      <w:r>
        <w:rPr>
          <w:rFonts w:ascii="Times New Roman" w:cs="Times New Roman" w:eastAsia="Times New Roman" w:hAnsi="Times New Roman"/>
          <w:sz w:val="18"/>
          <w:szCs w:val="18"/>
          <w:color w:val="auto"/>
        </w:rPr>
        <w:t>”) or on account of the IPO Entities continuing to hold shares that come to represent more than 50% of the combined voting power of the Company’s then outstanding securities as a result of the conversion of any class of the Company’s securities into another class of the Company’s securities having a different number of votes per share pursuant to the conversion provisions set forth in the Company’s Amended and Restated Certificate of Incorporation; or (D) solely because the level of Ownership held by any Exchange Act Person (the “</w:t>
      </w:r>
      <w:r>
        <w:rPr>
          <w:rFonts w:ascii="Times New Roman" w:cs="Times New Roman" w:eastAsia="Times New Roman" w:hAnsi="Times New Roman"/>
          <w:sz w:val="18"/>
          <w:szCs w:val="18"/>
          <w:b w:val="1"/>
          <w:bCs w:val="1"/>
          <w:i w:val="1"/>
          <w:iCs w:val="1"/>
          <w:color w:val="auto"/>
        </w:rPr>
        <w:t>Subject Person</w:t>
      </w:r>
      <w:r>
        <w:rPr>
          <w:rFonts w:ascii="Times New Roman" w:cs="Times New Roman" w:eastAsia="Times New Roman" w:hAnsi="Times New Roman"/>
          <w:sz w:val="18"/>
          <w:szCs w:val="18"/>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193" w:lineRule="exact"/>
        <w:rPr>
          <w:rFonts w:ascii="Times New Roman" w:cs="Times New Roman" w:eastAsia="Times New Roman" w:hAnsi="Times New Roman"/>
          <w:sz w:val="18"/>
          <w:szCs w:val="18"/>
          <w:b w:val="1"/>
          <w:bCs w:val="1"/>
          <w:color w:val="auto"/>
        </w:rPr>
      </w:pPr>
    </w:p>
    <w:p>
      <w:pPr>
        <w:ind w:right="160" w:firstLine="987"/>
        <w:spacing w:after="0" w:line="254" w:lineRule="auto"/>
        <w:tabs>
          <w:tab w:leader="none" w:pos="1256"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merger, consolidation or similar transaction will not constitute a Change in Control under this prong of the definition if the outstanding voting securities representing more than 50% of the combined voting power of the surviving Entity or its parent are owned by the IPO Entities; or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440" w:top="270" w:right="439" w:bottom="1440" w:gutter="0" w:footer="0" w:header="0"/>
        </w:sectPr>
      </w:pPr>
    </w:p>
    <w:bookmarkStart w:id="21" w:name="page22"/>
    <w:bookmarkEnd w:id="21"/>
    <w:p>
      <w:pPr>
        <w:ind w:right="140" w:firstLine="987"/>
        <w:spacing w:after="0" w:line="255" w:lineRule="auto"/>
        <w:tabs>
          <w:tab w:leader="none" w:pos="1306"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sale, lease, exclusive license or other disposition of all or substantially all of the consolidated assets of the Company and its Subsidiaries will not constitute a Change in Control under this prong of the definition if the outstanding voting securities representing more than 50% of the combined voting power of the acquiring Entity or its parent are owned by the IPO Entities.</w:t>
      </w:r>
    </w:p>
    <w:p>
      <w:pPr>
        <w:spacing w:after="0" w:line="18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the foregoing definition or any other provision of the Plan, the term Change in Control will not include a sale of assets, merger or other transaction effected exclusively for the purpose of changing the domicile of the Company and the definition of Change in Control (or any analogous term) in an individual written agreement between the Company or any Affiliate and the Participant will supersede the foregoing definition with respect to Awards subject to such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no definition of Change in Control or any analogous term is set forth in such an individual written agreement, the foregoing definition will apply.</w:t>
      </w:r>
    </w:p>
    <w:p>
      <w:pPr>
        <w:spacing w:after="0" w:line="179" w:lineRule="exact"/>
        <w:rPr>
          <w:sz w:val="20"/>
          <w:szCs w:val="20"/>
          <w:color w:val="auto"/>
        </w:rPr>
      </w:pPr>
    </w:p>
    <w:p>
      <w:pPr>
        <w:ind w:left="660" w:hanging="224"/>
        <w:spacing w:after="0"/>
        <w:tabs>
          <w:tab w:leader="none" w:pos="6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including any applicable regulations and guidance thereunder.</w:t>
      </w:r>
    </w:p>
    <w:p>
      <w:pPr>
        <w:spacing w:after="0" w:line="225" w:lineRule="exact"/>
        <w:rPr>
          <w:rFonts w:ascii="Times New Roman" w:cs="Times New Roman" w:eastAsia="Times New Roman" w:hAnsi="Times New Roman"/>
          <w:sz w:val="18"/>
          <w:szCs w:val="18"/>
          <w:b w:val="1"/>
          <w:bCs w:val="1"/>
          <w:color w:val="auto"/>
        </w:rPr>
      </w:pPr>
    </w:p>
    <w:p>
      <w:pPr>
        <w:ind w:right="900" w:firstLine="436"/>
        <w:spacing w:after="0" w:line="286" w:lineRule="auto"/>
        <w:tabs>
          <w:tab w:leader="none" w:pos="705"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a committee of one or more Directors to whom authority has been delegated by the Board in accordance with Section 2(c).</w:t>
      </w:r>
    </w:p>
    <w:p>
      <w:pPr>
        <w:spacing w:after="0" w:line="154" w:lineRule="exact"/>
        <w:rPr>
          <w:rFonts w:ascii="Times New Roman" w:cs="Times New Roman" w:eastAsia="Times New Roman" w:hAnsi="Times New Roman"/>
          <w:sz w:val="18"/>
          <w:szCs w:val="18"/>
          <w:b w:val="1"/>
          <w:bCs w:val="1"/>
          <w:color w:val="auto"/>
        </w:rPr>
      </w:pPr>
    </w:p>
    <w:p>
      <w:pPr>
        <w:ind w:left="660" w:hanging="224"/>
        <w:spacing w:after="0"/>
        <w:tabs>
          <w:tab w:leader="none" w:pos="6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the Company, having one vote per share.</w:t>
      </w:r>
    </w:p>
    <w:p>
      <w:pPr>
        <w:spacing w:after="0" w:line="225" w:lineRule="exact"/>
        <w:rPr>
          <w:rFonts w:ascii="Times New Roman" w:cs="Times New Roman" w:eastAsia="Times New Roman" w:hAnsi="Times New Roman"/>
          <w:sz w:val="18"/>
          <w:szCs w:val="18"/>
          <w:b w:val="1"/>
          <w:bCs w:val="1"/>
          <w:color w:val="auto"/>
        </w:rPr>
      </w:pPr>
    </w:p>
    <w:p>
      <w:pPr>
        <w:ind w:left="760" w:hanging="324"/>
        <w:spacing w:after="0"/>
        <w:tabs>
          <w:tab w:leader="none" w:pos="7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Verrica Pharmaceuticals Inc., a Delaware corporation.</w:t>
      </w:r>
    </w:p>
    <w:p>
      <w:pPr>
        <w:spacing w:after="0" w:line="225" w:lineRule="exact"/>
        <w:rPr>
          <w:rFonts w:ascii="Times New Roman" w:cs="Times New Roman" w:eastAsia="Times New Roman" w:hAnsi="Times New Roman"/>
          <w:sz w:val="18"/>
          <w:szCs w:val="18"/>
          <w:b w:val="1"/>
          <w:bCs w:val="1"/>
          <w:color w:val="auto"/>
        </w:rPr>
      </w:pPr>
    </w:p>
    <w:p>
      <w:pPr>
        <w:ind w:right="40" w:firstLine="436"/>
        <w:spacing w:after="0" w:line="259" w:lineRule="auto"/>
        <w:tabs>
          <w:tab w:leader="none" w:pos="705"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79" w:lineRule="exact"/>
        <w:rPr>
          <w:rFonts w:ascii="Times New Roman" w:cs="Times New Roman" w:eastAsia="Times New Roman" w:hAnsi="Times New Roman"/>
          <w:sz w:val="18"/>
          <w:szCs w:val="18"/>
          <w:b w:val="1"/>
          <w:bCs w:val="1"/>
          <w:color w:val="auto"/>
        </w:rPr>
      </w:pPr>
    </w:p>
    <w:p>
      <w:pPr>
        <w:ind w:firstLine="436"/>
        <w:spacing w:after="0" w:line="254" w:lineRule="auto"/>
        <w:tabs>
          <w:tab w:leader="none" w:pos="695"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Continuous Service</w:t>
      </w:r>
      <w:r>
        <w:rPr>
          <w:rFonts w:ascii="Times New Roman" w:cs="Times New Roman" w:eastAsia="Times New Roman" w:hAnsi="Times New Roman"/>
          <w:sz w:val="18"/>
          <w:szCs w:val="18"/>
          <w:color w:val="auto"/>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service with the Company or an Affiliate, will not terminate a Participant’s Continuous Service;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70" w:right="479" w:bottom="1440" w:gutter="0" w:footer="0" w:header="0"/>
        </w:sectPr>
      </w:pPr>
    </w:p>
    <w:bookmarkStart w:id="22" w:name="page23"/>
    <w:bookmarkEnd w:id="22"/>
    <w:p>
      <w:pPr>
        <w:ind w:left="-20" w:right="380" w:firstLine="436"/>
        <w:spacing w:after="0" w:line="286" w:lineRule="auto"/>
        <w:tabs>
          <w:tab w:leader="none" w:pos="685"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consummation, in a single transaction or in a series of related transactions, of any one or more of the following events:</w:t>
      </w:r>
    </w:p>
    <w:p>
      <w:pPr>
        <w:spacing w:after="0" w:line="50" w:lineRule="exact"/>
        <w:rPr>
          <w:rFonts w:ascii="Times New Roman" w:cs="Times New Roman" w:eastAsia="Times New Roman" w:hAnsi="Times New Roman"/>
          <w:sz w:val="18"/>
          <w:szCs w:val="18"/>
          <w:b w:val="1"/>
          <w:bCs w:val="1"/>
          <w:color w:val="auto"/>
        </w:rPr>
      </w:pPr>
    </w:p>
    <w:p>
      <w:pPr>
        <w:ind w:left="-20" w:right="140" w:firstLine="987"/>
        <w:spacing w:after="0" w:line="282" w:lineRule="auto"/>
        <w:tabs>
          <w:tab w:leader="none" w:pos="1186"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all or substantially all, as determined by the Board, in its sole discretion, of the consolidated assets of the Company and its Subsidiaries;</w:t>
      </w:r>
    </w:p>
    <w:p>
      <w:pPr>
        <w:spacing w:after="0" w:line="161" w:lineRule="exact"/>
        <w:rPr>
          <w:rFonts w:ascii="Times New Roman" w:cs="Times New Roman" w:eastAsia="Times New Roman" w:hAnsi="Times New Roman"/>
          <w:sz w:val="18"/>
          <w:szCs w:val="18"/>
          <w:b w:val="1"/>
          <w:bCs w:val="1"/>
          <w:color w:val="auto"/>
        </w:rPr>
      </w:pPr>
    </w:p>
    <w:p>
      <w:pPr>
        <w:ind w:left="1240" w:hanging="273"/>
        <w:spacing w:after="0"/>
        <w:tabs>
          <w:tab w:leader="none" w:pos="1240"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more than 50% of the outstanding securities of the Company;</w:t>
      </w:r>
    </w:p>
    <w:p>
      <w:pPr>
        <w:spacing w:after="0" w:line="225" w:lineRule="exact"/>
        <w:rPr>
          <w:rFonts w:ascii="Times New Roman" w:cs="Times New Roman" w:eastAsia="Times New Roman" w:hAnsi="Times New Roman"/>
          <w:sz w:val="18"/>
          <w:szCs w:val="18"/>
          <w:b w:val="1"/>
          <w:bCs w:val="1"/>
          <w:color w:val="auto"/>
        </w:rPr>
      </w:pPr>
    </w:p>
    <w:p>
      <w:pPr>
        <w:ind w:left="1280" w:hanging="313"/>
        <w:spacing w:after="0"/>
        <w:tabs>
          <w:tab w:leader="none" w:pos="1280"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not the surviving corporation; or</w:t>
      </w:r>
    </w:p>
    <w:p>
      <w:pPr>
        <w:spacing w:after="0" w:line="225" w:lineRule="exact"/>
        <w:rPr>
          <w:rFonts w:ascii="Times New Roman" w:cs="Times New Roman" w:eastAsia="Times New Roman" w:hAnsi="Times New Roman"/>
          <w:sz w:val="18"/>
          <w:szCs w:val="18"/>
          <w:b w:val="1"/>
          <w:bCs w:val="1"/>
          <w:color w:val="auto"/>
        </w:rPr>
      </w:pPr>
    </w:p>
    <w:p>
      <w:pPr>
        <w:ind w:left="-20" w:right="220" w:firstLine="987"/>
        <w:spacing w:after="0" w:line="266" w:lineRule="auto"/>
        <w:tabs>
          <w:tab w:leader="none" w:pos="1276"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71" w:lineRule="exact"/>
        <w:rPr>
          <w:rFonts w:ascii="Times New Roman" w:cs="Times New Roman" w:eastAsia="Times New Roman" w:hAnsi="Times New Roman"/>
          <w:sz w:val="18"/>
          <w:szCs w:val="18"/>
          <w:b w:val="1"/>
          <w:bCs w:val="1"/>
          <w:color w:val="auto"/>
        </w:rPr>
      </w:pPr>
    </w:p>
    <w:p>
      <w:pPr>
        <w:ind w:left="680" w:hanging="264"/>
        <w:spacing w:after="0"/>
        <w:tabs>
          <w:tab w:leader="none" w:pos="6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b w:val="1"/>
          <w:bCs w:val="1"/>
          <w:color w:val="auto"/>
        </w:rPr>
      </w:pPr>
    </w:p>
    <w:p>
      <w:pPr>
        <w:ind w:left="-20" w:firstLine="436"/>
        <w:spacing w:after="0" w:line="262" w:lineRule="auto"/>
        <w:tabs>
          <w:tab w:leader="none" w:pos="665"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12 months, as provided in Sections 22(e)(3) and 409A(a)(2)(c)(i) of the Code, and will be determined by the Board on the basis of such medical evidence as the Board deems warranted under the circumstances.</w:t>
      </w:r>
    </w:p>
    <w:p>
      <w:pPr>
        <w:spacing w:after="0" w:line="176" w:lineRule="exact"/>
        <w:rPr>
          <w:rFonts w:ascii="Times New Roman" w:cs="Times New Roman" w:eastAsia="Times New Roman" w:hAnsi="Times New Roman"/>
          <w:sz w:val="18"/>
          <w:szCs w:val="18"/>
          <w:b w:val="1"/>
          <w:bCs w:val="1"/>
          <w:color w:val="auto"/>
        </w:rPr>
      </w:pPr>
    </w:p>
    <w:p>
      <w:pPr>
        <w:ind w:left="-20" w:right="60" w:firstLine="436"/>
        <w:spacing w:after="0" w:line="268" w:lineRule="auto"/>
        <w:tabs>
          <w:tab w:leader="none" w:pos="655"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Dissolution</w:t>
      </w:r>
      <w:r>
        <w:rPr>
          <w:rFonts w:ascii="Times New Roman" w:cs="Times New Roman" w:eastAsia="Times New Roman" w:hAnsi="Times New Roman"/>
          <w:sz w:val="18"/>
          <w:szCs w:val="18"/>
          <w:color w:val="auto"/>
        </w:rPr>
        <w:t>” means when the Company, after having executed a certificate of dissolution with the State of Delaware (or other applicable state), has completely wound up its affairs. Conversion of the Company into a Limited Liability Company (or any other pass-through entity) will not be considered a “Dissolution” for purposes of the Plan.</w:t>
      </w:r>
    </w:p>
    <w:p>
      <w:pPr>
        <w:spacing w:after="0" w:line="170" w:lineRule="exact"/>
        <w:rPr>
          <w:rFonts w:ascii="Times New Roman" w:cs="Times New Roman" w:eastAsia="Times New Roman" w:hAnsi="Times New Roman"/>
          <w:sz w:val="18"/>
          <w:szCs w:val="18"/>
          <w:b w:val="1"/>
          <w:bCs w:val="1"/>
          <w:color w:val="auto"/>
        </w:rPr>
      </w:pPr>
    </w:p>
    <w:p>
      <w:pPr>
        <w:ind w:left="-20" w:right="160" w:firstLine="436"/>
        <w:spacing w:after="0" w:line="286" w:lineRule="auto"/>
        <w:tabs>
          <w:tab w:leader="none" w:pos="645"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154" w:lineRule="exact"/>
        <w:rPr>
          <w:rFonts w:ascii="Times New Roman" w:cs="Times New Roman" w:eastAsia="Times New Roman" w:hAnsi="Times New Roman"/>
          <w:sz w:val="18"/>
          <w:szCs w:val="18"/>
          <w:b w:val="1"/>
          <w:bCs w:val="1"/>
          <w:color w:val="auto"/>
        </w:rPr>
      </w:pPr>
    </w:p>
    <w:p>
      <w:pPr>
        <w:ind w:left="680" w:hanging="264"/>
        <w:spacing w:after="0"/>
        <w:tabs>
          <w:tab w:leader="none" w:pos="6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 corporation, partnership, limited liability company or other entity.</w:t>
      </w:r>
    </w:p>
    <w:p>
      <w:pPr>
        <w:spacing w:after="0" w:line="225" w:lineRule="exact"/>
        <w:rPr>
          <w:rFonts w:ascii="Times New Roman" w:cs="Times New Roman" w:eastAsia="Times New Roman" w:hAnsi="Times New Roman"/>
          <w:sz w:val="18"/>
          <w:szCs w:val="18"/>
          <w:b w:val="1"/>
          <w:bCs w:val="1"/>
          <w:color w:val="auto"/>
        </w:rPr>
      </w:pPr>
    </w:p>
    <w:p>
      <w:pPr>
        <w:ind w:left="680" w:hanging="264"/>
        <w:spacing w:after="0"/>
        <w:tabs>
          <w:tab w:leader="none" w:pos="6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rFonts w:ascii="Times New Roman" w:cs="Times New Roman" w:eastAsia="Times New Roman" w:hAnsi="Times New Roman"/>
          <w:sz w:val="18"/>
          <w:szCs w:val="18"/>
          <w:b w:val="1"/>
          <w:bCs w:val="1"/>
          <w:color w:val="auto"/>
        </w:rPr>
      </w:pPr>
    </w:p>
    <w:p>
      <w:pPr>
        <w:ind w:left="-20" w:right="40" w:firstLine="436"/>
        <w:spacing w:after="0" w:line="273" w:lineRule="auto"/>
        <w:tabs>
          <w:tab w:leader="none" w:pos="715" w:val="left"/>
        </w:tabs>
        <w:numPr>
          <w:ilvl w:val="0"/>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Exchange Act Person</w:t>
      </w:r>
      <w:r>
        <w:rPr>
          <w:rFonts w:ascii="Times New Roman" w:cs="Times New Roman" w:eastAsia="Times New Roman" w:hAnsi="Times New Roman"/>
          <w:sz w:val="17"/>
          <w:szCs w:val="17"/>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IPO Date, is the Owner, directly or indirectly, of securities of the Company representing more than 50% of the combined voting power of the Company’s then outstanding securities.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0"/>
          </w:cols>
          <w:pgMar w:left="460" w:top="266" w:right="479" w:bottom="1440" w:gutter="0" w:footer="0" w:header="0"/>
        </w:sectPr>
      </w:pPr>
    </w:p>
    <w:bookmarkStart w:id="23" w:name="page24"/>
    <w:bookmarkEnd w:id="23"/>
    <w:p>
      <w:pPr>
        <w:ind w:left="704" w:hanging="264"/>
        <w:spacing w:after="0"/>
        <w:tabs>
          <w:tab w:leader="none" w:pos="704"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the value of the Common Stock determined as follows:</w:t>
      </w:r>
    </w:p>
    <w:p>
      <w:pPr>
        <w:spacing w:after="0" w:line="121" w:lineRule="exact"/>
        <w:rPr>
          <w:rFonts w:ascii="Times New Roman" w:cs="Times New Roman" w:eastAsia="Times New Roman" w:hAnsi="Times New Roman"/>
          <w:sz w:val="18"/>
          <w:szCs w:val="18"/>
          <w:b w:val="1"/>
          <w:bCs w:val="1"/>
          <w:color w:val="auto"/>
        </w:rPr>
      </w:pPr>
    </w:p>
    <w:p>
      <w:pPr>
        <w:ind w:left="4" w:firstLine="987"/>
        <w:spacing w:after="0" w:line="261" w:lineRule="auto"/>
        <w:tabs>
          <w:tab w:leader="none" w:pos="1210"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Common Stock is listed on any established stock exchange or traded on any established market, the Fair Market Value of a share of Common Stock will be, unless otherwise determined by the Board, the closing sales price for such stock as quoted on such exchange or market (or the exchange or market with the greatest volume of trading in the Common Stock) on the date of determination, as reported in a source the Board deems reliable.</w:t>
      </w:r>
    </w:p>
    <w:p>
      <w:pPr>
        <w:spacing w:after="0" w:line="179" w:lineRule="exact"/>
        <w:rPr>
          <w:rFonts w:ascii="Times New Roman" w:cs="Times New Roman" w:eastAsia="Times New Roman" w:hAnsi="Times New Roman"/>
          <w:sz w:val="18"/>
          <w:szCs w:val="18"/>
          <w:b w:val="1"/>
          <w:bCs w:val="1"/>
          <w:color w:val="auto"/>
        </w:rPr>
      </w:pPr>
    </w:p>
    <w:p>
      <w:pPr>
        <w:ind w:left="4" w:right="60" w:firstLine="987"/>
        <w:spacing w:after="0" w:line="282" w:lineRule="auto"/>
        <w:tabs>
          <w:tab w:leader="none" w:pos="1260"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provided by the Board, if there is no closing sales price for the Common Stock on the date of determination, then the Fair Market Value will be the closing selling price on the last preceding date for which such quotation exists.</w:t>
      </w:r>
    </w:p>
    <w:p>
      <w:pPr>
        <w:spacing w:after="0" w:line="161" w:lineRule="exact"/>
        <w:rPr>
          <w:rFonts w:ascii="Times New Roman" w:cs="Times New Roman" w:eastAsia="Times New Roman" w:hAnsi="Times New Roman"/>
          <w:sz w:val="18"/>
          <w:szCs w:val="18"/>
          <w:b w:val="1"/>
          <w:bCs w:val="1"/>
          <w:color w:val="auto"/>
        </w:rPr>
      </w:pPr>
    </w:p>
    <w:p>
      <w:pPr>
        <w:ind w:left="4" w:right="180" w:firstLine="987"/>
        <w:spacing w:after="0" w:line="282" w:lineRule="auto"/>
        <w:tabs>
          <w:tab w:leader="none" w:pos="1310"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absence of such markets for the Common Stock, the Fair Market Value will be determined by the Board in good faith and in a manner that complies with Sections 409A and 422 of the Code.</w:t>
      </w:r>
    </w:p>
    <w:p>
      <w:pPr>
        <w:spacing w:after="0" w:line="157" w:lineRule="exact"/>
        <w:rPr>
          <w:rFonts w:ascii="Times New Roman" w:cs="Times New Roman" w:eastAsia="Times New Roman" w:hAnsi="Times New Roman"/>
          <w:sz w:val="18"/>
          <w:szCs w:val="18"/>
          <w:b w:val="1"/>
          <w:bCs w:val="1"/>
          <w:color w:val="auto"/>
        </w:rPr>
      </w:pPr>
    </w:p>
    <w:p>
      <w:pPr>
        <w:ind w:left="4" w:right="20" w:firstLine="436"/>
        <w:spacing w:after="0" w:line="286" w:lineRule="auto"/>
        <w:tabs>
          <w:tab w:leader="none" w:pos="699"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granted pursuant to Section 5 of the Plan that is intended to be, and qualifies as, an “incentive stock option” within the meaning of Section 422 of the Code.</w:t>
      </w:r>
    </w:p>
    <w:p>
      <w:pPr>
        <w:spacing w:after="0" w:line="154" w:lineRule="exact"/>
        <w:rPr>
          <w:rFonts w:ascii="Times New Roman" w:cs="Times New Roman" w:eastAsia="Times New Roman" w:hAnsi="Times New Roman"/>
          <w:sz w:val="18"/>
          <w:szCs w:val="18"/>
          <w:b w:val="1"/>
          <w:bCs w:val="1"/>
          <w:color w:val="auto"/>
        </w:rPr>
      </w:pPr>
    </w:p>
    <w:p>
      <w:pPr>
        <w:ind w:left="684" w:hanging="244"/>
        <w:spacing w:after="0"/>
        <w:tabs>
          <w:tab w:leader="none" w:pos="684"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IPO Date</w:t>
      </w:r>
      <w:r>
        <w:rPr>
          <w:rFonts w:ascii="Times New Roman" w:cs="Times New Roman" w:eastAsia="Times New Roman" w:hAnsi="Times New Roman"/>
          <w:sz w:val="18"/>
          <w:szCs w:val="18"/>
          <w:color w:val="auto"/>
        </w:rPr>
        <w:t>” means June 5, 2018.</w:t>
      </w:r>
    </w:p>
    <w:p>
      <w:pPr>
        <w:spacing w:after="0" w:line="225" w:lineRule="exact"/>
        <w:rPr>
          <w:sz w:val="20"/>
          <w:szCs w:val="20"/>
          <w:color w:val="auto"/>
        </w:rPr>
      </w:pPr>
    </w:p>
    <w:p>
      <w:pPr>
        <w:ind w:left="4" w:right="160" w:firstLine="436"/>
        <w:spacing w:after="0" w:line="270" w:lineRule="auto"/>
        <w:tabs>
          <w:tab w:leader="none" w:pos="789" w:val="left"/>
        </w:tabs>
        <w:numPr>
          <w:ilvl w:val="1"/>
          <w:numId w:val="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Non-Employee Director</w:t>
      </w:r>
      <w:r>
        <w:rPr>
          <w:rFonts w:ascii="Times New Roman" w:cs="Times New Roman" w:eastAsia="Times New Roman" w:hAnsi="Times New Roman"/>
          <w:sz w:val="17"/>
          <w:szCs w:val="17"/>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17"/>
          <w:szCs w:val="17"/>
          <w:b w:val="1"/>
          <w:bCs w:val="1"/>
          <w:i w:val="1"/>
          <w:iCs w:val="1"/>
          <w:color w:val="auto"/>
        </w:rPr>
        <w:t>Regulation S-K</w:t>
      </w:r>
      <w:r>
        <w:rPr>
          <w:rFonts w:ascii="Times New Roman" w:cs="Times New Roman" w:eastAsia="Times New Roman" w:hAnsi="Times New Roman"/>
          <w:sz w:val="17"/>
          <w:szCs w:val="17"/>
          <w:color w:val="auto"/>
        </w:rPr>
        <w:t>”)), does not possess an interest in any other transaction for which disclosure would be required under Item 404(a) of Regulation S-K, and is not engaged in a business relationship for which disclosure would be required pursuant to Item 404(b) of Regulation S-K; or</w:t>
      </w:r>
    </w:p>
    <w:p>
      <w:pPr>
        <w:spacing w:after="0" w:line="2" w:lineRule="exact"/>
        <w:rPr>
          <w:rFonts w:ascii="Times New Roman" w:cs="Times New Roman" w:eastAsia="Times New Roman" w:hAnsi="Times New Roman"/>
          <w:sz w:val="17"/>
          <w:szCs w:val="17"/>
          <w:b w:val="1"/>
          <w:bCs w:val="1"/>
          <w:color w:val="auto"/>
        </w:rPr>
      </w:pPr>
    </w:p>
    <w:p>
      <w:pPr>
        <w:ind w:left="264" w:hanging="264"/>
        <w:spacing w:after="0"/>
        <w:tabs>
          <w:tab w:leader="none" w:pos="26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otherwise considered a “non-employee director” for purposes of Rule 16b-3.</w:t>
      </w:r>
    </w:p>
    <w:p>
      <w:pPr>
        <w:spacing w:after="0" w:line="202" w:lineRule="exact"/>
        <w:rPr>
          <w:rFonts w:ascii="Times New Roman" w:cs="Times New Roman" w:eastAsia="Times New Roman" w:hAnsi="Times New Roman"/>
          <w:sz w:val="18"/>
          <w:szCs w:val="18"/>
          <w:color w:val="auto"/>
        </w:rPr>
      </w:pPr>
    </w:p>
    <w:p>
      <w:pPr>
        <w:ind w:left="804" w:hanging="364"/>
        <w:spacing w:after="0"/>
        <w:tabs>
          <w:tab w:leader="none" w:pos="804"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color w:val="auto"/>
        </w:rPr>
        <w:t>” means any Option granted pursuant to Section 5 of the Plan that does not qualify as an Incentive Stock Option.</w:t>
      </w:r>
    </w:p>
    <w:p>
      <w:pPr>
        <w:spacing w:after="0" w:line="225" w:lineRule="exact"/>
        <w:rPr>
          <w:rFonts w:ascii="Times New Roman" w:cs="Times New Roman" w:eastAsia="Times New Roman" w:hAnsi="Times New Roman"/>
          <w:sz w:val="18"/>
          <w:szCs w:val="18"/>
          <w:b w:val="1"/>
          <w:bCs w:val="1"/>
          <w:color w:val="auto"/>
        </w:rPr>
      </w:pPr>
    </w:p>
    <w:p>
      <w:pPr>
        <w:ind w:left="764" w:hanging="324"/>
        <w:spacing w:after="0"/>
        <w:tabs>
          <w:tab w:leader="none" w:pos="764"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w:t>
      </w:r>
    </w:p>
    <w:p>
      <w:pPr>
        <w:spacing w:after="0" w:line="225" w:lineRule="exact"/>
        <w:rPr>
          <w:rFonts w:ascii="Times New Roman" w:cs="Times New Roman" w:eastAsia="Times New Roman" w:hAnsi="Times New Roman"/>
          <w:sz w:val="18"/>
          <w:szCs w:val="18"/>
          <w:b w:val="1"/>
          <w:bCs w:val="1"/>
          <w:color w:val="auto"/>
        </w:rPr>
      </w:pPr>
    </w:p>
    <w:p>
      <w:pPr>
        <w:ind w:left="804" w:hanging="364"/>
        <w:spacing w:after="0"/>
        <w:tabs>
          <w:tab w:leader="none" w:pos="804"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Incentive Stock Option or a Nonstatutory Stock Option to purchase shares of Common Stock granted pursuant to the</w:t>
      </w:r>
    </w:p>
    <w:p>
      <w:pPr>
        <w:spacing w:after="0" w:line="31" w:lineRule="exact"/>
        <w:rPr>
          <w:rFonts w:ascii="Times New Roman" w:cs="Times New Roman" w:eastAsia="Times New Roman" w:hAnsi="Times New Roman"/>
          <w:sz w:val="18"/>
          <w:szCs w:val="18"/>
          <w:b w:val="1"/>
          <w:bCs w:val="1"/>
          <w:color w:val="auto"/>
        </w:rPr>
      </w:pPr>
    </w:p>
    <w:p>
      <w:pPr>
        <w:ind w:left="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Plan.</w:t>
      </w:r>
    </w:p>
    <w:p>
      <w:pPr>
        <w:spacing w:after="0" w:line="202" w:lineRule="exact"/>
        <w:rPr>
          <w:rFonts w:ascii="Times New Roman" w:cs="Times New Roman" w:eastAsia="Times New Roman" w:hAnsi="Times New Roman"/>
          <w:sz w:val="18"/>
          <w:szCs w:val="18"/>
          <w:b w:val="1"/>
          <w:bCs w:val="1"/>
          <w:color w:val="auto"/>
        </w:rPr>
      </w:pPr>
    </w:p>
    <w:p>
      <w:pPr>
        <w:ind w:left="4" w:right="500" w:firstLine="436"/>
        <w:spacing w:after="0" w:line="286" w:lineRule="auto"/>
        <w:tabs>
          <w:tab w:leader="none" w:pos="769"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means a written agreement between the Company and an Optionholder evidencing the terms and conditions of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 grant. Each Option Agreement will be subject to the terms and conditions of the Plan.</w:t>
      </w:r>
    </w:p>
    <w:p>
      <w:pPr>
        <w:spacing w:after="0" w:line="154" w:lineRule="exact"/>
        <w:rPr>
          <w:rFonts w:ascii="Times New Roman" w:cs="Times New Roman" w:eastAsia="Times New Roman" w:hAnsi="Times New Roman"/>
          <w:sz w:val="18"/>
          <w:szCs w:val="18"/>
          <w:b w:val="1"/>
          <w:bCs w:val="1"/>
          <w:color w:val="auto"/>
        </w:rPr>
      </w:pPr>
    </w:p>
    <w:p>
      <w:pPr>
        <w:ind w:left="4" w:right="780" w:firstLine="436"/>
        <w:spacing w:after="0" w:line="286" w:lineRule="auto"/>
        <w:tabs>
          <w:tab w:leader="none" w:pos="729"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 means a person to whom an Option is granted pursuant to the Plan or, if applicable, such other person who holds an outstanding Option.</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66" w:right="459" w:bottom="1440" w:gutter="0" w:footer="0" w:header="0"/>
        </w:sectPr>
      </w:pPr>
    </w:p>
    <w:bookmarkStart w:id="24" w:name="page25"/>
    <w:bookmarkEnd w:id="24"/>
    <w:p>
      <w:pPr>
        <w:ind w:right="260" w:firstLine="436"/>
        <w:spacing w:after="0" w:line="286" w:lineRule="auto"/>
        <w:tabs>
          <w:tab w:leader="none" w:pos="78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Other Stock Award</w:t>
      </w:r>
      <w:r>
        <w:rPr>
          <w:rFonts w:ascii="Times New Roman" w:cs="Times New Roman" w:eastAsia="Times New Roman" w:hAnsi="Times New Roman"/>
          <w:sz w:val="18"/>
          <w:szCs w:val="18"/>
          <w:color w:val="auto"/>
        </w:rPr>
        <w:t>” means an award based in whole or in part by reference to the Common Stock which is granted pursuant to the terms and conditions of Section 6(d).</w:t>
      </w:r>
    </w:p>
    <w:p>
      <w:pPr>
        <w:spacing w:after="0" w:line="154" w:lineRule="exact"/>
        <w:rPr>
          <w:rFonts w:ascii="Times New Roman" w:cs="Times New Roman" w:eastAsia="Times New Roman" w:hAnsi="Times New Roman"/>
          <w:sz w:val="18"/>
          <w:szCs w:val="18"/>
          <w:b w:val="1"/>
          <w:bCs w:val="1"/>
          <w:color w:val="auto"/>
        </w:rPr>
      </w:pPr>
    </w:p>
    <w:p>
      <w:pPr>
        <w:ind w:right="280" w:firstLine="436"/>
        <w:spacing w:after="0" w:line="317" w:lineRule="auto"/>
        <w:tabs>
          <w:tab w:leader="none" w:pos="805" w:val="left"/>
        </w:tabs>
        <w:numPr>
          <w:ilvl w:val="0"/>
          <w:numId w:val="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Other Stock Award Agreement</w:t>
      </w:r>
      <w:r>
        <w:rPr>
          <w:rFonts w:ascii="Times New Roman" w:cs="Times New Roman" w:eastAsia="Times New Roman" w:hAnsi="Times New Roman"/>
          <w:sz w:val="17"/>
          <w:szCs w:val="17"/>
          <w:color w:val="auto"/>
        </w:rPr>
        <w:t>” means a written agreement between the Company and a holder of an Other Stock Award evidencing the terms and conditions of an Other Stock Award grant. Each Other Stock Award Agreement will be subject to the terms and conditions of the Plan.</w:t>
      </w:r>
    </w:p>
    <w:p>
      <w:pPr>
        <w:spacing w:after="0" w:line="131" w:lineRule="exact"/>
        <w:rPr>
          <w:rFonts w:ascii="Times New Roman" w:cs="Times New Roman" w:eastAsia="Times New Roman" w:hAnsi="Times New Roman"/>
          <w:sz w:val="17"/>
          <w:szCs w:val="17"/>
          <w:b w:val="1"/>
          <w:bCs w:val="1"/>
          <w:color w:val="auto"/>
        </w:rPr>
      </w:pPr>
    </w:p>
    <w:p>
      <w:pPr>
        <w:ind w:firstLine="436"/>
        <w:spacing w:after="0" w:line="268" w:lineRule="auto"/>
        <w:tabs>
          <w:tab w:leader="none" w:pos="70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Own,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Ownership</w:t>
      </w:r>
      <w:r>
        <w:rPr>
          <w:rFonts w:ascii="Times New Roman" w:cs="Times New Roman" w:eastAsia="Times New Roman" w:hAnsi="Times New Roman"/>
          <w:sz w:val="18"/>
          <w:szCs w:val="18"/>
          <w:color w:val="auto"/>
        </w:rPr>
        <w:t>” means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70" w:lineRule="exact"/>
        <w:rPr>
          <w:rFonts w:ascii="Times New Roman" w:cs="Times New Roman" w:eastAsia="Times New Roman" w:hAnsi="Times New Roman"/>
          <w:sz w:val="18"/>
          <w:szCs w:val="18"/>
          <w:b w:val="1"/>
          <w:bCs w:val="1"/>
          <w:color w:val="auto"/>
        </w:rPr>
      </w:pPr>
    </w:p>
    <w:p>
      <w:pPr>
        <w:ind w:right="80" w:firstLine="436"/>
        <w:spacing w:after="0" w:line="286" w:lineRule="auto"/>
        <w:tabs>
          <w:tab w:leader="none" w:pos="72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 person to whom an Award is granted pursuant to the Plan or, if applicable, such other person who holds an outstanding Stock Award.</w:t>
      </w:r>
    </w:p>
    <w:p>
      <w:pPr>
        <w:spacing w:after="0" w:line="154" w:lineRule="exact"/>
        <w:rPr>
          <w:rFonts w:ascii="Times New Roman" w:cs="Times New Roman" w:eastAsia="Times New Roman" w:hAnsi="Times New Roman"/>
          <w:sz w:val="18"/>
          <w:szCs w:val="18"/>
          <w:b w:val="1"/>
          <w:bCs w:val="1"/>
          <w:color w:val="auto"/>
        </w:rPr>
      </w:pPr>
    </w:p>
    <w:p>
      <w:pPr>
        <w:ind w:left="800" w:hanging="364"/>
        <w:spacing w:after="0"/>
        <w:tabs>
          <w:tab w:leader="none" w:pos="80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Cash Award</w:t>
      </w:r>
      <w:r>
        <w:rPr>
          <w:rFonts w:ascii="Times New Roman" w:cs="Times New Roman" w:eastAsia="Times New Roman" w:hAnsi="Times New Roman"/>
          <w:sz w:val="18"/>
          <w:szCs w:val="18"/>
          <w:color w:val="auto"/>
        </w:rPr>
        <w:t>” means an award of cash granted pursuant to the terms and conditions of Section 6(c)(ii).</w:t>
      </w:r>
    </w:p>
    <w:p>
      <w:pPr>
        <w:spacing w:after="0" w:line="225" w:lineRule="exact"/>
        <w:rPr>
          <w:rFonts w:ascii="Times New Roman" w:cs="Times New Roman" w:eastAsia="Times New Roman" w:hAnsi="Times New Roman"/>
          <w:sz w:val="18"/>
          <w:szCs w:val="18"/>
          <w:b w:val="1"/>
          <w:bCs w:val="1"/>
          <w:color w:val="auto"/>
        </w:rPr>
      </w:pPr>
    </w:p>
    <w:p>
      <w:pPr>
        <w:ind w:firstLine="436"/>
        <w:spacing w:after="0" w:line="252" w:lineRule="auto"/>
        <w:tabs>
          <w:tab w:leader="none" w:pos="70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Criteria</w:t>
      </w:r>
      <w:r>
        <w:rPr>
          <w:rFonts w:ascii="Times New Roman" w:cs="Times New Roman" w:eastAsia="Times New Roman" w:hAnsi="Times New Roman"/>
          <w:sz w:val="18"/>
          <w:szCs w:val="18"/>
          <w:color w:val="auto"/>
        </w:rPr>
        <w:t>” means the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(i) sales; (ii) revenues; (iii) assets; (iv) expenses; (v) market penetration or expansion; (vi) earnings from operations; (vii) earnings before or after deduction for all or any portion of interest, taxes, depreciation, amortization, incentives, service fees or extraordinary or special items, whether or not on a continuing operations or an aggregate or per share basis; (viii) net income or net income per common share (basic or diluted); (ix) return on equity, investment, capital or assets; (x) one or more operating ratios; (xi) borrowing levels, leverage ratios or credit rating; (xii) market share; (xiii) capital expenditures; (xiv) cash flow, free cash flow, cash flow return on investment, or net cash provided by operations; (xv) stock price, dividends or total stockholder return; (xvi) development of new technologies or products; (xvii) sales of particular products or services; (xviii) economic value created or added; (xix) operating margin or profit margin; (xx) customer acquisition or retention; (xxi) raising or refinancing of capital; (xxii) successful hiring of key individuals; (xxiii) resolution of significant litigation; (xxiv) acquisitions and divestitures (in whole or in part); (xxv) joint ventures and strategic alliances; (xxvi) spin-offs, split-ups and the like; (xxvii) reorganizations; (xxviii) recapitalizations, restructurings, financings (issuance of debt or equity) or refinancings; or (xxix) strategic business criteria, consisting of one or more objectives based on the following goals: achievement of timely development, design management or enrollment, meeting specified market penetration or value added, payor acceptance, patient adherence, peer reviewed publications, issuance of new patents, establishment of or securing of licenses to intellectual property, product development or introduction (including, without limitation, any clinical trial accomplishments, regulatory or other filings, approvals or milestones, discovery of novel products, maintenance of multiple products in pipeline, product launch or other product development milestones), geographic business expansion, cost targets, cost reductions or savings, customer satisfaction, operating efficiency, acquisition or retention, employee satisfaction, information technology, corporate development (including, without limitation, licenses, innovation, research or establishment of third party collaborations), manufacturing or process development, legal compliance or risk reduction, patent application or issuance goals, or goals relating to acquisitions, divestitures or other business combinations (in whole or in part), joint ventures or strategic alliances; and (xxx) other measures of performance selected by the Board.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66" w:right="459" w:bottom="1440" w:gutter="0" w:footer="0" w:header="0"/>
        </w:sectPr>
      </w:pPr>
    </w:p>
    <w:bookmarkStart w:id="25" w:name="page26"/>
    <w:bookmarkEnd w:id="25"/>
    <w:p>
      <w:pPr>
        <w:ind w:left="4" w:right="20" w:firstLine="436"/>
        <w:spacing w:after="0" w:line="268" w:lineRule="auto"/>
        <w:tabs>
          <w:tab w:leader="none" w:pos="909" w:val="left"/>
        </w:tabs>
        <w:numPr>
          <w:ilvl w:val="1"/>
          <w:numId w:val="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b w:val="1"/>
          <w:bCs w:val="1"/>
          <w:i w:val="1"/>
          <w:iCs w:val="1"/>
          <w:color w:val="auto"/>
        </w:rPr>
        <w:t>Performance Goals</w:t>
      </w:r>
      <w:r>
        <w:rPr>
          <w:rFonts w:ascii="Times New Roman" w:cs="Times New Roman" w:eastAsia="Times New Roman" w:hAnsi="Times New Roman"/>
          <w:sz w:val="17"/>
          <w:szCs w:val="17"/>
          <w:color w:val="auto"/>
        </w:rPr>
        <w:t>”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dilutive effects of acquisitions or joint ventures; (6) to assume that any business divested by the Company achieved performance objectives at targeted levels during the balance of a Performance Period following such divestiture;</w:t>
      </w:r>
    </w:p>
    <w:p>
      <w:pPr>
        <w:spacing w:after="0" w:line="1" w:lineRule="exact"/>
        <w:rPr>
          <w:rFonts w:ascii="Times New Roman" w:cs="Times New Roman" w:eastAsia="Times New Roman" w:hAnsi="Times New Roman"/>
          <w:sz w:val="17"/>
          <w:szCs w:val="17"/>
          <w:b w:val="1"/>
          <w:bCs w:val="1"/>
          <w:color w:val="auto"/>
        </w:rPr>
      </w:pPr>
    </w:p>
    <w:p>
      <w:pPr>
        <w:ind w:left="4" w:hanging="4"/>
        <w:spacing w:after="0" w:line="251" w:lineRule="auto"/>
        <w:tabs>
          <w:tab w:leader="none" w:pos="25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(8) to exclude the effects of stock based compensation and the award of bonuses under the Company’s bonus plans; (9) to exclude costs incurred in connection with potential acquisitions or divestitures that are required to be expensed under generally accepted accounting principles; (10) to exclude the goodwill and intangible asset impairment charges that are required to be recorded under generally accepted accounting principles; and (11) to exclude the effect of any other unusual, non-recurring gain or loss or other extraordinary item specified in the Award Agreement.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w:t>
      </w:r>
    </w:p>
    <w:p>
      <w:pPr>
        <w:spacing w:after="0" w:line="188" w:lineRule="exact"/>
        <w:rPr>
          <w:rFonts w:ascii="Times New Roman" w:cs="Times New Roman" w:eastAsia="Times New Roman" w:hAnsi="Times New Roman"/>
          <w:sz w:val="18"/>
          <w:szCs w:val="18"/>
          <w:color w:val="auto"/>
        </w:rPr>
      </w:pPr>
    </w:p>
    <w:p>
      <w:pPr>
        <w:jc w:val="both"/>
        <w:ind w:left="4" w:right="80" w:firstLine="436"/>
        <w:spacing w:after="0" w:line="268" w:lineRule="auto"/>
        <w:tabs>
          <w:tab w:leader="none" w:pos="809"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the period of time selected by the Board over which the attainment of one or more Performance Goals will be measured for the purpose of determining a Participant’s right to and the payment of a Stock Award or a Performance Cash Award. Performance Periods may be of varying and overlapping duration, at the sole discretion of the Board.</w:t>
      </w:r>
    </w:p>
    <w:p>
      <w:pPr>
        <w:spacing w:after="0" w:line="170" w:lineRule="exact"/>
        <w:rPr>
          <w:rFonts w:ascii="Times New Roman" w:cs="Times New Roman" w:eastAsia="Times New Roman" w:hAnsi="Times New Roman"/>
          <w:sz w:val="18"/>
          <w:szCs w:val="18"/>
          <w:b w:val="1"/>
          <w:bCs w:val="1"/>
          <w:color w:val="auto"/>
        </w:rPr>
      </w:pPr>
    </w:p>
    <w:p>
      <w:pPr>
        <w:ind w:left="784" w:hanging="344"/>
        <w:spacing w:after="0"/>
        <w:tabs>
          <w:tab w:leader="none" w:pos="784"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Stock Award</w:t>
      </w:r>
      <w:r>
        <w:rPr>
          <w:rFonts w:ascii="Times New Roman" w:cs="Times New Roman" w:eastAsia="Times New Roman" w:hAnsi="Times New Roman"/>
          <w:sz w:val="18"/>
          <w:szCs w:val="18"/>
          <w:color w:val="auto"/>
        </w:rPr>
        <w:t>” means a Stock Award granted under the terms and conditions of Section 6(c)(i).</w:t>
      </w:r>
    </w:p>
    <w:p>
      <w:pPr>
        <w:spacing w:after="0" w:line="225" w:lineRule="exact"/>
        <w:rPr>
          <w:rFonts w:ascii="Times New Roman" w:cs="Times New Roman" w:eastAsia="Times New Roman" w:hAnsi="Times New Roman"/>
          <w:sz w:val="18"/>
          <w:szCs w:val="18"/>
          <w:b w:val="1"/>
          <w:bCs w:val="1"/>
          <w:color w:val="auto"/>
        </w:rPr>
      </w:pPr>
    </w:p>
    <w:p>
      <w:pPr>
        <w:ind w:left="804" w:hanging="364"/>
        <w:spacing w:after="0"/>
        <w:tabs>
          <w:tab w:leader="none" w:pos="804"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Verrica Pharmaceuticals Inc. Amended and Restated 2018 Equity Incentive Plan, as amended from time to time.</w:t>
      </w:r>
    </w:p>
    <w:p>
      <w:pPr>
        <w:spacing w:after="0" w:line="225" w:lineRule="exact"/>
        <w:rPr>
          <w:rFonts w:ascii="Times New Roman" w:cs="Times New Roman" w:eastAsia="Times New Roman" w:hAnsi="Times New Roman"/>
          <w:sz w:val="18"/>
          <w:szCs w:val="18"/>
          <w:b w:val="1"/>
          <w:bCs w:val="1"/>
          <w:color w:val="auto"/>
        </w:rPr>
      </w:pPr>
    </w:p>
    <w:p>
      <w:pPr>
        <w:ind w:left="804" w:hanging="364"/>
        <w:spacing w:after="0"/>
        <w:tabs>
          <w:tab w:leader="none" w:pos="804" w:val="left"/>
        </w:tabs>
        <w:numPr>
          <w:ilvl w:val="1"/>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Restricted Stock Award</w:t>
      </w:r>
      <w:r>
        <w:rPr>
          <w:rFonts w:ascii="Times New Roman" w:cs="Times New Roman" w:eastAsia="Times New Roman" w:hAnsi="Times New Roman"/>
          <w:sz w:val="17"/>
          <w:szCs w:val="17"/>
          <w:color w:val="auto"/>
        </w:rPr>
        <w:t>” means an award of shares of Common Stock which is granted pursuant to the terms and conditions of Section 6(a).</w:t>
      </w:r>
    </w:p>
    <w:p>
      <w:pPr>
        <w:spacing w:after="0" w:line="236" w:lineRule="exact"/>
        <w:rPr>
          <w:rFonts w:ascii="Times New Roman" w:cs="Times New Roman" w:eastAsia="Times New Roman" w:hAnsi="Times New Roman"/>
          <w:sz w:val="17"/>
          <w:szCs w:val="17"/>
          <w:b w:val="1"/>
          <w:bCs w:val="1"/>
          <w:color w:val="auto"/>
        </w:rPr>
      </w:pPr>
    </w:p>
    <w:p>
      <w:pPr>
        <w:ind w:left="4" w:right="20" w:firstLine="436"/>
        <w:spacing w:after="0" w:line="268" w:lineRule="auto"/>
        <w:tabs>
          <w:tab w:leader="none" w:pos="769"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 Agreement</w:t>
      </w:r>
      <w:r>
        <w:rPr>
          <w:rFonts w:ascii="Times New Roman" w:cs="Times New Roman" w:eastAsia="Times New Roman" w:hAnsi="Times New Roman"/>
          <w:sz w:val="18"/>
          <w:szCs w:val="18"/>
          <w:color w:val="auto"/>
        </w:rPr>
        <w:t>” means a written agreement between the Company and a holder of a Restricted Stock Award evidencing the terms and conditions of a Restricted Stock Award grant. Each Restricted Stock Award Agreement will be subject to the terms and conditions of the Plan.</w:t>
      </w:r>
    </w:p>
    <w:p>
      <w:pPr>
        <w:spacing w:after="0" w:line="170" w:lineRule="exact"/>
        <w:rPr>
          <w:rFonts w:ascii="Times New Roman" w:cs="Times New Roman" w:eastAsia="Times New Roman" w:hAnsi="Times New Roman"/>
          <w:sz w:val="18"/>
          <w:szCs w:val="18"/>
          <w:b w:val="1"/>
          <w:bCs w:val="1"/>
          <w:color w:val="auto"/>
        </w:rPr>
      </w:pPr>
    </w:p>
    <w:p>
      <w:pPr>
        <w:ind w:left="4" w:right="280" w:firstLine="436"/>
        <w:spacing w:after="0" w:line="286" w:lineRule="auto"/>
        <w:tabs>
          <w:tab w:leader="none" w:pos="749"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Unit Award</w:t>
      </w:r>
      <w:r>
        <w:rPr>
          <w:rFonts w:ascii="Times New Roman" w:cs="Times New Roman" w:eastAsia="Times New Roman" w:hAnsi="Times New Roman"/>
          <w:sz w:val="18"/>
          <w:szCs w:val="18"/>
          <w:color w:val="auto"/>
        </w:rPr>
        <w:t>” means a right to receive shares of Common Stock which is granted pursuant to the terms and conditions of Section 6(b).</w:t>
      </w:r>
    </w:p>
    <w:p>
      <w:pPr>
        <w:spacing w:after="0" w:line="154" w:lineRule="exact"/>
        <w:rPr>
          <w:rFonts w:ascii="Times New Roman" w:cs="Times New Roman" w:eastAsia="Times New Roman" w:hAnsi="Times New Roman"/>
          <w:sz w:val="18"/>
          <w:szCs w:val="18"/>
          <w:b w:val="1"/>
          <w:bCs w:val="1"/>
          <w:color w:val="auto"/>
        </w:rPr>
      </w:pPr>
    </w:p>
    <w:p>
      <w:pPr>
        <w:jc w:val="both"/>
        <w:ind w:left="4" w:right="140" w:firstLine="436"/>
        <w:spacing w:after="0" w:line="268" w:lineRule="auto"/>
        <w:tabs>
          <w:tab w:leader="none" w:pos="729"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Unit Award Agreement</w:t>
      </w:r>
      <w:r>
        <w:rPr>
          <w:rFonts w:ascii="Times New Roman" w:cs="Times New Roman" w:eastAsia="Times New Roman" w:hAnsi="Times New Roman"/>
          <w:sz w:val="18"/>
          <w:szCs w:val="18"/>
          <w:color w:val="auto"/>
        </w:rPr>
        <w:t>” means a written agreement between the Company and a holder of a Restricted Stock Unit Award evidencing the terms and conditions of a Restricted Stock Unit Award grant. Each Restricted Stock Unit Award Agreement will be subject to the terms and conditions of the Plan.</w:t>
      </w:r>
    </w:p>
    <w:p>
      <w:pPr>
        <w:spacing w:after="0" w:line="10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4"/>
          </w:cols>
          <w:pgMar w:left="436" w:top="266" w:right="479" w:bottom="1440" w:gutter="0" w:footer="0" w:header="0"/>
        </w:sectPr>
      </w:pPr>
    </w:p>
    <w:bookmarkStart w:id="26" w:name="page27"/>
    <w:bookmarkEnd w:id="26"/>
    <w:p>
      <w:pPr>
        <w:ind w:left="800" w:hanging="364"/>
        <w:spacing w:after="0"/>
        <w:tabs>
          <w:tab w:leader="none" w:pos="8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 or any successor to Rule 16b-3, as in effect from time to time.</w:t>
      </w:r>
    </w:p>
    <w:p>
      <w:pPr>
        <w:spacing w:after="0" w:line="225" w:lineRule="exact"/>
        <w:rPr>
          <w:rFonts w:ascii="Times New Roman" w:cs="Times New Roman" w:eastAsia="Times New Roman" w:hAnsi="Times New Roman"/>
          <w:sz w:val="18"/>
          <w:szCs w:val="18"/>
          <w:b w:val="1"/>
          <w:bCs w:val="1"/>
          <w:color w:val="auto"/>
        </w:rPr>
      </w:pPr>
    </w:p>
    <w:p>
      <w:pPr>
        <w:ind w:left="780" w:hanging="344"/>
        <w:spacing w:after="0"/>
        <w:tabs>
          <w:tab w:leader="none" w:pos="7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rFonts w:ascii="Times New Roman" w:cs="Times New Roman" w:eastAsia="Times New Roman" w:hAnsi="Times New Roman"/>
          <w:sz w:val="18"/>
          <w:szCs w:val="18"/>
          <w:b w:val="1"/>
          <w:bCs w:val="1"/>
          <w:color w:val="auto"/>
        </w:rPr>
      </w:pPr>
    </w:p>
    <w:p>
      <w:pPr>
        <w:ind w:right="100" w:firstLine="436"/>
        <w:spacing w:after="0" w:line="286" w:lineRule="auto"/>
        <w:tabs>
          <w:tab w:leader="none" w:pos="865"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means a right to receive the appreciation on Common Stock that is granted pursuant to the terms and conditions of Section 5.</w:t>
      </w:r>
    </w:p>
    <w:p>
      <w:pPr>
        <w:spacing w:after="0" w:line="154" w:lineRule="exact"/>
        <w:rPr>
          <w:rFonts w:ascii="Times New Roman" w:cs="Times New Roman" w:eastAsia="Times New Roman" w:hAnsi="Times New Roman"/>
          <w:sz w:val="18"/>
          <w:szCs w:val="18"/>
          <w:b w:val="1"/>
          <w:bCs w:val="1"/>
          <w:color w:val="auto"/>
        </w:rPr>
      </w:pPr>
    </w:p>
    <w:p>
      <w:pPr>
        <w:ind w:right="340" w:firstLine="436"/>
        <w:spacing w:after="0" w:line="268" w:lineRule="auto"/>
        <w:tabs>
          <w:tab w:leader="none" w:pos="785"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 Agreement</w:t>
      </w:r>
      <w:r>
        <w:rPr>
          <w:rFonts w:ascii="Times New Roman" w:cs="Times New Roman" w:eastAsia="Times New Roman" w:hAnsi="Times New Roman"/>
          <w:sz w:val="18"/>
          <w:szCs w:val="18"/>
          <w:color w:val="auto"/>
        </w:rPr>
        <w:t>” means a written agreement between the Company and a holder of a Stock Appreciation Right evidencing the terms and conditions of a Stock Appreciation Right grant. Each Stock Appreciation Right Agreement will be subject to the terms and conditions of the Plan.</w:t>
      </w:r>
    </w:p>
    <w:p>
      <w:pPr>
        <w:spacing w:after="0" w:line="170" w:lineRule="exact"/>
        <w:rPr>
          <w:rFonts w:ascii="Times New Roman" w:cs="Times New Roman" w:eastAsia="Times New Roman" w:hAnsi="Times New Roman"/>
          <w:sz w:val="18"/>
          <w:szCs w:val="18"/>
          <w:b w:val="1"/>
          <w:bCs w:val="1"/>
          <w:color w:val="auto"/>
        </w:rPr>
      </w:pPr>
    </w:p>
    <w:p>
      <w:pPr>
        <w:ind w:right="60" w:firstLine="436"/>
        <w:spacing w:after="0" w:line="317" w:lineRule="auto"/>
        <w:tabs>
          <w:tab w:leader="none" w:pos="785" w:val="left"/>
        </w:tabs>
        <w:numPr>
          <w:ilvl w:val="0"/>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Stock Award</w:t>
      </w:r>
      <w:r>
        <w:rPr>
          <w:rFonts w:ascii="Times New Roman" w:cs="Times New Roman" w:eastAsia="Times New Roman" w:hAnsi="Times New Roman"/>
          <w:sz w:val="17"/>
          <w:szCs w:val="17"/>
          <w:color w:val="auto"/>
        </w:rPr>
        <w:t>” means any right to receive Common Stock granted under the Plan, including an Incentive Stock Option, a Nonstatutory Stock Option, a Restricted Stock Award, a Restricted Stock Unit Award, a Stock Appreciation Right, a Performance Stock Award or any Other Stock Award.</w:t>
      </w:r>
    </w:p>
    <w:p>
      <w:pPr>
        <w:spacing w:after="0" w:line="131" w:lineRule="exact"/>
        <w:rPr>
          <w:rFonts w:ascii="Times New Roman" w:cs="Times New Roman" w:eastAsia="Times New Roman" w:hAnsi="Times New Roman"/>
          <w:sz w:val="17"/>
          <w:szCs w:val="17"/>
          <w:b w:val="1"/>
          <w:bCs w:val="1"/>
          <w:color w:val="auto"/>
        </w:rPr>
      </w:pPr>
    </w:p>
    <w:p>
      <w:pPr>
        <w:ind w:firstLine="436"/>
        <w:spacing w:after="0" w:line="286" w:lineRule="auto"/>
        <w:tabs>
          <w:tab w:leader="none" w:pos="765"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Award Agreement</w:t>
      </w:r>
      <w:r>
        <w:rPr>
          <w:rFonts w:ascii="Times New Roman" w:cs="Times New Roman" w:eastAsia="Times New Roman" w:hAnsi="Times New Roman"/>
          <w:sz w:val="18"/>
          <w:szCs w:val="18"/>
          <w:color w:val="auto"/>
        </w:rPr>
        <w:t>” means a written agreement between the Company and a Participant evidencing the terms and conditions of a Stock Award grant. Each Stock Award Agreement will be subject to the terms and conditions of the Plan.</w:t>
      </w:r>
    </w:p>
    <w:p>
      <w:pPr>
        <w:spacing w:after="0" w:line="155" w:lineRule="exact"/>
        <w:rPr>
          <w:sz w:val="20"/>
          <w:szCs w:val="20"/>
          <w:color w:val="auto"/>
        </w:rPr>
      </w:pPr>
    </w:p>
    <w:p>
      <w:pPr>
        <w:ind w:right="260" w:firstLine="436"/>
        <w:spacing w:after="0" w:line="259" w:lineRule="auto"/>
        <w:tabs>
          <w:tab w:leader="none" w:pos="875"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79" w:lineRule="exact"/>
        <w:rPr>
          <w:rFonts w:ascii="Times New Roman" w:cs="Times New Roman" w:eastAsia="Times New Roman" w:hAnsi="Times New Roman"/>
          <w:sz w:val="18"/>
          <w:szCs w:val="18"/>
          <w:b w:val="1"/>
          <w:bCs w:val="1"/>
          <w:color w:val="auto"/>
        </w:rPr>
      </w:pPr>
    </w:p>
    <w:p>
      <w:pPr>
        <w:ind w:right="420" w:firstLine="436"/>
        <w:spacing w:after="0" w:line="286" w:lineRule="auto"/>
        <w:tabs>
          <w:tab w:leader="none" w:pos="905"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Ten Percent Stockholder</w:t>
      </w:r>
      <w:r>
        <w:rPr>
          <w:rFonts w:ascii="Times New Roman" w:cs="Times New Roman" w:eastAsia="Times New Roman" w:hAnsi="Times New Roman"/>
          <w:sz w:val="18"/>
          <w:szCs w:val="18"/>
          <w:color w:val="auto"/>
        </w:rPr>
        <w:t>” means a person who Owns (or is deemed to Own pursuant to Section 424(d) of the Code) stock possessing more than 10% of the total combined voting power of all classes of stock of the Company or any Affiliate.</w:t>
      </w:r>
    </w:p>
    <w:p>
      <w:pPr>
        <w:spacing w:after="0" w:line="154" w:lineRule="exact"/>
        <w:rPr>
          <w:rFonts w:ascii="Times New Roman" w:cs="Times New Roman" w:eastAsia="Times New Roman" w:hAnsi="Times New Roman"/>
          <w:sz w:val="18"/>
          <w:szCs w:val="18"/>
          <w:b w:val="1"/>
          <w:bCs w:val="1"/>
          <w:color w:val="auto"/>
        </w:rPr>
      </w:pPr>
    </w:p>
    <w:p>
      <w:pPr>
        <w:ind w:left="840" w:hanging="404"/>
        <w:spacing w:after="0"/>
        <w:tabs>
          <w:tab w:leader="none" w:pos="8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color w:val="auto"/>
        </w:rPr>
        <w:t>” means a Corporate Transaction or a Change in Control.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1."/>
      <w:numFmt w:val="decimal"/>
      <w:start w:val="1"/>
    </w:lvl>
    <w:lvl w:ilvl="1">
      <w:lvlJc w:val="left"/>
      <w:lvlText w:val="(%2)"/>
      <w:numFmt w:val="lowerLetter"/>
      <w:start w:val="1"/>
    </w:lvl>
  </w:abstractNum>
  <w:abstractNum w:abstractNumId="2">
    <w:nsid w:val="189A769B"/>
    <w:multiLevelType w:val="hybridMultilevel"/>
    <w:lvl w:ilvl="0">
      <w:lvlJc w:val="left"/>
      <w:lvlText w:val="(%1)"/>
      <w:numFmt w:val="lowerRoman"/>
      <w:start w:val="1"/>
    </w:lvl>
  </w:abstractNum>
  <w:abstractNum w:abstractNumId="3">
    <w:nsid w:val="54E49EB4"/>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5"/>
    </w:lvl>
  </w:abstractNum>
  <w:abstractNum w:abstractNumId="4">
    <w:nsid w:val="71F32454"/>
    <w:multiLevelType w:val="hybridMultilevel"/>
    <w:lvl w:ilvl="0">
      <w:lvlJc w:val="left"/>
      <w:lvlText w:val="%1"/>
      <w:numFmt w:val="lowerRoman"/>
      <w:start w:val="1"/>
    </w:lvl>
    <w:lvl w:ilvl="1">
      <w:lvlJc w:val="left"/>
      <w:lvlText w:val="(%2)"/>
      <w:numFmt w:val="lowerLetter"/>
      <w:start w:val="2"/>
    </w:lvl>
    <w:lvl w:ilvl="2">
      <w:lvlJc w:val="left"/>
      <w:lvlText w:val="%3"/>
      <w:numFmt w:val="lowerLetter"/>
      <w:start w:val="1"/>
    </w:lvl>
  </w:abstractNum>
  <w:abstractNum w:abstractNumId="5">
    <w:nsid w:val="2CA88611"/>
    <w:multiLevelType w:val="hybridMultilevel"/>
    <w:lvl w:ilvl="0">
      <w:lvlJc w:val="left"/>
      <w:lvlText w:val="(%1)"/>
      <w:numFmt w:val="lowerRoman"/>
      <w:start w:val="7"/>
    </w:lvl>
    <w:lvl w:ilvl="1">
      <w:lvlJc w:val="left"/>
      <w:lvlText w:val="(%2)"/>
      <w:numFmt w:val="lowerLetter"/>
      <w:start w:val="4"/>
    </w:lvl>
    <w:lvl w:ilvl="2">
      <w:lvlJc w:val="left"/>
      <w:lvlText w:val="%3"/>
      <w:numFmt w:val="lowerLetter"/>
      <w:start w:val="1"/>
    </w:lvl>
  </w:abstractNum>
  <w:abstractNum w:abstractNumId="6">
    <w:nsid w:val="836C40E"/>
    <w:multiLevelType w:val="hybridMultilevel"/>
    <w:lvl w:ilvl="0">
      <w:lvlJc w:val="left"/>
      <w:lvlText w:val="%1."/>
      <w:numFmt w:val="decimal"/>
      <w:start w:val="2"/>
    </w:lvl>
    <w:lvl w:ilvl="1">
      <w:lvlJc w:val="left"/>
      <w:lvlText w:val="(%2)"/>
      <w:numFmt w:val="lowerLetter"/>
      <w:start w:val="1"/>
    </w:lvl>
  </w:abstractNum>
  <w:abstractNum w:abstractNumId="7">
    <w:nsid w:val="2901D82"/>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8">
    <w:nsid w:val="3A95F874"/>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2"/>
    </w:lvl>
  </w:abstractNum>
  <w:abstractNum w:abstractNumId="9">
    <w:nsid w:val="8138641"/>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7"/>
    </w:lvl>
  </w:abstractNum>
  <w:abstractNum w:abstractNumId="10">
    <w:nsid w:val="1E7FF52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9"/>
    </w:lvl>
  </w:abstractNum>
  <w:abstractNum w:abstractNumId="11">
    <w:nsid w:val="7C3DBD3D"/>
    <w:multiLevelType w:val="hybridMultilevel"/>
    <w:lvl w:ilvl="0">
      <w:lvlJc w:val="left"/>
      <w:lvlText w:val="(%1)"/>
      <w:numFmt w:val="decimal"/>
      <w:start w:val="2"/>
    </w:lvl>
    <w:lvl w:ilvl="1">
      <w:lvlJc w:val="left"/>
      <w:lvlText w:val="(%2)"/>
      <w:numFmt w:val="lowerLetter"/>
      <w:start w:val="3"/>
    </w:lvl>
    <w:lvl w:ilvl="2">
      <w:lvlJc w:val="left"/>
      <w:lvlText w:val="(%3)"/>
      <w:numFmt w:val="lowerRoman"/>
      <w:start w:val="1"/>
    </w:lvl>
  </w:abstractNum>
  <w:abstractNum w:abstractNumId="12">
    <w:nsid w:val="737B8DDC"/>
    <w:multiLevelType w:val="hybridMultilevel"/>
    <w:lvl w:ilvl="0">
      <w:lvlJc w:val="left"/>
      <w:lvlText w:val="%1"/>
      <w:numFmt w:val="decimal"/>
      <w:start w:val="1"/>
    </w:lvl>
    <w:lvl w:ilvl="1">
      <w:lvlJc w:val="left"/>
      <w:lvlText w:val="(%2)"/>
      <w:numFmt w:val="lowerLetter"/>
      <w:start w:val="5"/>
    </w:lvl>
  </w:abstractNum>
  <w:abstractNum w:abstractNumId="13">
    <w:nsid w:val="6CEAF087"/>
    <w:multiLevelType w:val="hybridMultilevel"/>
    <w:lvl w:ilvl="0">
      <w:lvlJc w:val="left"/>
      <w:lvlText w:val="%1."/>
      <w:numFmt w:val="decimal"/>
      <w:start w:val="3"/>
    </w:lvl>
    <w:lvl w:ilvl="1">
      <w:lvlJc w:val="left"/>
      <w:lvlText w:val="(%2)"/>
      <w:numFmt w:val="lowerLetter"/>
      <w:start w:val="1"/>
    </w:lvl>
  </w:abstractNum>
  <w:abstractNum w:abstractNumId="14">
    <w:nsid w:val="22221A70"/>
    <w:multiLevelType w:val="hybridMultilevel"/>
    <w:lvl w:ilvl="0">
      <w:lvlJc w:val="left"/>
      <w:lvlText w:val="(%1)"/>
      <w:numFmt w:val="lowerLetter"/>
      <w:start w:val="2"/>
    </w:lvl>
  </w:abstractNum>
  <w:abstractNum w:abstractNumId="15">
    <w:nsid w:val="4516DDE9"/>
    <w:multiLevelType w:val="hybridMultilevel"/>
    <w:lvl w:ilvl="0">
      <w:lvlJc w:val="left"/>
      <w:lvlText w:val="%1"/>
      <w:numFmt w:val="decimal"/>
      <w:start w:val="1"/>
    </w:lvl>
    <w:lvl w:ilvl="1">
      <w:lvlJc w:val="left"/>
      <w:lvlText w:val="(%2)"/>
      <w:numFmt w:val="lowerLetter"/>
      <w:start w:val="3"/>
    </w:lvl>
  </w:abstractNum>
  <w:abstractNum w:abstractNumId="16">
    <w:nsid w:val="3006C83E"/>
    <w:multiLevelType w:val="hybridMultilevel"/>
    <w:lvl w:ilvl="0">
      <w:lvlJc w:val="left"/>
      <w:lvlText w:val="%1."/>
      <w:numFmt w:val="decimal"/>
      <w:start w:val="4"/>
    </w:lvl>
    <w:lvl w:ilvl="1">
      <w:lvlJc w:val="left"/>
      <w:lvlText w:val="(%2)"/>
      <w:numFmt w:val="lowerLetter"/>
      <w:start w:val="1"/>
    </w:lvl>
  </w:abstractNum>
  <w:abstractNum w:abstractNumId="17">
    <w:nsid w:val="614FD4A1"/>
    <w:multiLevelType w:val="hybridMultilevel"/>
    <w:lvl w:ilvl="0">
      <w:lvlJc w:val="left"/>
      <w:lvlText w:val="(%1)"/>
      <w:numFmt w:val="lowerLetter"/>
      <w:start w:val="1"/>
    </w:lvl>
  </w:abstractNum>
  <w:abstractNum w:abstractNumId="18">
    <w:nsid w:val="419AC241"/>
    <w:multiLevelType w:val="hybridMultilevel"/>
    <w:lvl w:ilvl="0">
      <w:lvlJc w:val="left"/>
      <w:lvlText w:val="(%1)"/>
      <w:numFmt w:val="lowerLetter"/>
      <w:start w:val="2"/>
    </w:lvl>
    <w:lvl w:ilvl="1">
      <w:lvlJc w:val="left"/>
      <w:lvlText w:val="(%2)"/>
      <w:numFmt w:val="lowerRoman"/>
      <w:start w:val="1"/>
    </w:lvl>
  </w:abstractNum>
  <w:abstractNum w:abstractNumId="19">
    <w:nsid w:val="5577F8E1"/>
    <w:multiLevelType w:val="hybridMultilevel"/>
    <w:lvl w:ilvl="0">
      <w:lvlJc w:val="left"/>
      <w:lvlText w:val="(%1)"/>
      <w:numFmt w:val="lowerLetter"/>
      <w:start w:val="5"/>
    </w:lvl>
    <w:lvl w:ilvl="1">
      <w:lvlJc w:val="left"/>
      <w:lvlText w:val="(%2)"/>
      <w:numFmt w:val="lowerRoman"/>
      <w:start w:val="1"/>
    </w:lvl>
  </w:abstractNum>
  <w:abstractNum w:abstractNumId="20">
    <w:nsid w:val="440BADFC"/>
    <w:multiLevelType w:val="hybridMultilevel"/>
    <w:lvl w:ilvl="0">
      <w:lvlJc w:val="left"/>
      <w:lvlText w:val="(%1)"/>
      <w:numFmt w:val="lowerLetter"/>
      <w:start w:val="8"/>
    </w:lvl>
  </w:abstractNum>
  <w:abstractNum w:abstractNumId="21">
    <w:nsid w:val="5072367"/>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2">
    <w:nsid w:val="3804823E"/>
    <w:multiLevelType w:val="hybridMultilevel"/>
    <w:lvl w:ilvl="0">
      <w:lvlJc w:val="left"/>
      <w:lvlText w:val="(%1)"/>
      <w:numFmt w:val="lowerLetter"/>
      <w:start w:val="2"/>
    </w:lvl>
    <w:lvl w:ilvl="1">
      <w:lvlJc w:val="left"/>
      <w:lvlText w:val="(%2)"/>
      <w:numFmt w:val="lowerRoman"/>
      <w:start w:val="1"/>
    </w:lvl>
  </w:abstractNum>
  <w:abstractNum w:abstractNumId="23">
    <w:nsid w:val="77465F0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4">
    <w:nsid w:val="7724C67E"/>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5">
    <w:nsid w:val="5C482A97"/>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6">
    <w:nsid w:val="2463B9EA"/>
    <w:multiLevelType w:val="hybridMultilevel"/>
    <w:lvl w:ilvl="0">
      <w:lvlJc w:val="left"/>
      <w:lvlText w:val="%1."/>
      <w:numFmt w:val="decimal"/>
      <w:start w:val="8"/>
    </w:lvl>
    <w:lvl w:ilvl="1">
      <w:lvlJc w:val="left"/>
      <w:lvlText w:val="(%2)"/>
      <w:numFmt w:val="lowerLetter"/>
      <w:start w:val="1"/>
    </w:lvl>
  </w:abstractNum>
  <w:abstractNum w:abstractNumId="27">
    <w:nsid w:val="5E884ADC"/>
    <w:multiLevelType w:val="hybridMultilevel"/>
    <w:lvl w:ilvl="0">
      <w:lvlJc w:val="left"/>
      <w:lvlText w:val="%1"/>
      <w:numFmt w:val="lowerLetter"/>
      <w:start w:val="1"/>
    </w:lvl>
    <w:lvl w:ilvl="1">
      <w:lvlJc w:val="left"/>
      <w:lvlText w:val="(%2)"/>
      <w:numFmt w:val="lowerLetter"/>
      <w:start w:val="7"/>
    </w:lvl>
  </w:abstractNum>
  <w:abstractNum w:abstractNumId="28">
    <w:nsid w:val="51EAD36B"/>
    <w:multiLevelType w:val="hybridMultilevel"/>
    <w:lvl w:ilvl="0">
      <w:lvlJc w:val="left"/>
      <w:lvlText w:val="(%1)"/>
      <w:numFmt w:val="lowerLetter"/>
      <w:start w:val="9"/>
    </w:lvl>
    <w:lvl w:ilvl="1">
      <w:lvlJc w:val="left"/>
      <w:lvlText w:val="(%2)"/>
      <w:numFmt w:val="lowerLetter"/>
      <w:start w:val="8"/>
    </w:lvl>
  </w:abstractNum>
  <w:abstractNum w:abstractNumId="29">
    <w:nsid w:val="2D517796"/>
    <w:multiLevelType w:val="hybridMultilevel"/>
    <w:lvl w:ilvl="0">
      <w:lvlJc w:val="left"/>
      <w:lvlText w:val="%1"/>
      <w:numFmt w:val="decimal"/>
      <w:start w:val="1"/>
    </w:lvl>
    <w:lvl w:ilvl="1">
      <w:lvlJc w:val="left"/>
      <w:lvlText w:val="(%2)"/>
      <w:numFmt w:val="lowerLetter"/>
      <w:start w:val="12"/>
    </w:lvl>
    <w:lvl w:ilvl="2">
      <w:lvlJc w:val="left"/>
      <w:lvlText w:val="%3"/>
      <w:numFmt w:val="lowerLetter"/>
      <w:start w:val="1"/>
    </w:lvl>
  </w:abstractNum>
  <w:abstractNum w:abstractNumId="30">
    <w:nsid w:val="580BD78F"/>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9"/>
    </w:lvl>
  </w:abstractNum>
  <w:abstractNum w:abstractNumId="31">
    <w:nsid w:val="153EA438"/>
    <w:multiLevelType w:val="hybridMultilevel"/>
    <w:lvl w:ilvl="0">
      <w:lvlJc w:val="left"/>
      <w:lvlText w:val="(%1)"/>
      <w:numFmt w:val="lowerRoman"/>
      <w:start w:val="2"/>
    </w:lvl>
  </w:abstractNum>
  <w:abstractNum w:abstractNumId="32">
    <w:nsid w:val="3855585C"/>
    <w:multiLevelType w:val="hybridMultilevel"/>
    <w:lvl w:ilvl="0">
      <w:lvlJc w:val="left"/>
      <w:lvlText w:val="%1"/>
      <w:numFmt w:val="decimal"/>
      <w:start w:val="1"/>
    </w:lvl>
    <w:lvl w:ilvl="1">
      <w:lvlJc w:val="left"/>
      <w:lvlText w:val="(%2)"/>
      <w:numFmt w:val="lowerLetter"/>
      <w:start w:val="4"/>
    </w:lvl>
  </w:abstractNum>
  <w:abstractNum w:abstractNumId="33">
    <w:nsid w:val="70A64E2A"/>
    <w:multiLevelType w:val="hybridMultilevel"/>
    <w:lvl w:ilvl="0">
      <w:lvlJc w:val="left"/>
      <w:lvlText w:val="%1."/>
      <w:numFmt w:val="decimal"/>
      <w:start w:val="10"/>
    </w:lvl>
    <w:lvl w:ilvl="1">
      <w:lvlJc w:val="left"/>
      <w:lvlText w:val="%2"/>
      <w:numFmt w:val="lowerLetter"/>
      <w:start w:val="1"/>
    </w:lvl>
  </w:abstractNum>
  <w:abstractNum w:abstractNumId="34">
    <w:nsid w:val="6A2342EC"/>
    <w:multiLevelType w:val="hybridMultilevel"/>
    <w:lvl w:ilvl="0">
      <w:lvlJc w:val="left"/>
      <w:lvlText w:val="(%1)"/>
      <w:numFmt w:val="lowerRoman"/>
      <w:start w:val="1"/>
    </w:lvl>
  </w:abstractNum>
  <w:abstractNum w:abstractNumId="35">
    <w:nsid w:val="2A487CB0"/>
    <w:multiLevelType w:val="hybridMultilevel"/>
    <w:lvl w:ilvl="0">
      <w:lvlJc w:val="left"/>
      <w:lvlText w:val="%1."/>
      <w:numFmt w:val="decimal"/>
      <w:start w:val="11"/>
    </w:lvl>
  </w:abstractNum>
  <w:abstractNum w:abstractNumId="36">
    <w:nsid w:val="1D4ED43B"/>
    <w:multiLevelType w:val="hybridMultilevel"/>
    <w:lvl w:ilvl="0">
      <w:lvlJc w:val="left"/>
      <w:lvlText w:val="%1."/>
      <w:numFmt w:val="decimal"/>
      <w:start w:val="12"/>
    </w:lvl>
  </w:abstractNum>
  <w:abstractNum w:abstractNumId="37">
    <w:nsid w:val="725A06FB"/>
    <w:multiLevelType w:val="hybridMultilevel"/>
    <w:lvl w:ilvl="0">
      <w:lvlJc w:val="left"/>
      <w:lvlText w:val="%1."/>
      <w:numFmt w:val="decimal"/>
      <w:start w:val="13"/>
    </w:lvl>
    <w:lvl w:ilvl="1">
      <w:lvlJc w:val="left"/>
      <w:lvlText w:val="(%2)"/>
      <w:numFmt w:val="lowerLetter"/>
      <w:start w:val="1"/>
    </w:lvl>
  </w:abstractNum>
  <w:abstractNum w:abstractNumId="38">
    <w:nsid w:val="2CD89A32"/>
    <w:multiLevelType w:val="hybridMultilevel"/>
    <w:lvl w:ilvl="0">
      <w:lvlJc w:val="left"/>
      <w:lvlText w:val="(%1)"/>
      <w:numFmt w:val="lowerRoman"/>
      <w:start w:val="1"/>
    </w:lvl>
    <w:lvl w:ilvl="1">
      <w:lvlJc w:val="left"/>
      <w:lvlText w:val="(%2)"/>
      <w:numFmt w:val="lowerRoman"/>
      <w:start w:val="1"/>
    </w:lvl>
  </w:abstractNum>
  <w:abstractNum w:abstractNumId="39">
    <w:nsid w:val="57E4CCAF"/>
    <w:multiLevelType w:val="hybridMultilevel"/>
    <w:lvl w:ilvl="0">
      <w:lvlJc w:val="left"/>
      <w:lvlText w:val="(%1)"/>
      <w:numFmt w:val="lowerRoman"/>
      <w:start w:val="3"/>
    </w:lvl>
  </w:abstractNum>
  <w:abstractNum w:abstractNumId="40">
    <w:nsid w:val="7A6D8D3C"/>
    <w:multiLevelType w:val="hybridMultilevel"/>
    <w:lvl w:ilvl="0">
      <w:lvlJc w:val="left"/>
      <w:lvlText w:val="(%1)"/>
      <w:numFmt w:val="lowerLetter"/>
      <w:start w:val="10"/>
    </w:lvl>
  </w:abstractNum>
  <w:abstractNum w:abstractNumId="41">
    <w:nsid w:val="4B588F54"/>
    <w:multiLevelType w:val="hybridMultilevel"/>
    <w:lvl w:ilvl="0">
      <w:lvlJc w:val="left"/>
      <w:lvlText w:val="(%1)"/>
      <w:numFmt w:val="lowerLetter"/>
      <w:start w:val="16"/>
    </w:lvl>
    <w:lvl w:ilvl="1">
      <w:lvlJc w:val="left"/>
      <w:lvlText w:val="(%2)"/>
      <w:numFmt w:val="lowerRoman"/>
      <w:start w:val="1"/>
    </w:lvl>
  </w:abstractNum>
  <w:abstractNum w:abstractNumId="42">
    <w:nsid w:val="542289EC"/>
    <w:multiLevelType w:val="hybridMultilevel"/>
    <w:lvl w:ilvl="0">
      <w:lvlJc w:val="left"/>
      <w:lvlText w:val="(%1)"/>
      <w:numFmt w:val="lowerLetter"/>
      <w:start w:val="24"/>
    </w:lvl>
    <w:lvl w:ilvl="1">
      <w:lvlJc w:val="left"/>
      <w:lvlText w:val="(%2)"/>
      <w:numFmt w:val="lowerRoman"/>
      <w:start w:val="1"/>
    </w:lvl>
  </w:abstractNum>
  <w:abstractNum w:abstractNumId="43">
    <w:nsid w:val="6DE91B18"/>
    <w:multiLevelType w:val="hybridMultilevel"/>
    <w:lvl w:ilvl="0">
      <w:lvlJc w:val="left"/>
      <w:lvlText w:val="%1"/>
      <w:numFmt w:val="lowerLetter"/>
      <w:start w:val="1"/>
    </w:lvl>
    <w:lvl w:ilvl="1">
      <w:lvlJc w:val="left"/>
      <w:lvlText w:val="(%2)"/>
      <w:numFmt w:val="lowerLetter"/>
      <w:start w:val="27"/>
    </w:lvl>
  </w:abstractNum>
  <w:abstractNum w:abstractNumId="44">
    <w:nsid w:val="38437FDB"/>
    <w:multiLevelType w:val="hybridMultilevel"/>
    <w:lvl w:ilvl="0">
      <w:lvlJc w:val="left"/>
      <w:lvlText w:val="(%1)"/>
      <w:numFmt w:val="lowerLetter"/>
      <w:start w:val="35"/>
    </w:lvl>
    <w:lvl w:ilvl="1">
      <w:lvlJc w:val="left"/>
      <w:lvlText w:val="(%2)"/>
      <w:numFmt w:val="lowerLetter"/>
      <w:start w:val="28"/>
    </w:lvl>
  </w:abstractNum>
  <w:abstractNum w:abstractNumId="45">
    <w:nsid w:val="7644A45C"/>
    <w:multiLevelType w:val="hybridMultilevel"/>
    <w:lvl w:ilvl="0">
      <w:lvlJc w:val="left"/>
      <w:lvlText w:val="(%1)"/>
      <w:numFmt w:val="lowerLetter"/>
      <w:start w:val="33"/>
    </w:lvl>
  </w:abstractNum>
  <w:abstractNum w:abstractNumId="46">
    <w:nsid w:val="32FFF902"/>
    <w:multiLevelType w:val="hybridMultilevel"/>
    <w:lvl w:ilvl="0">
      <w:lvlJc w:val="left"/>
      <w:lvlText w:val="%1"/>
      <w:numFmt w:val="decimal"/>
      <w:start w:val="1"/>
    </w:lvl>
    <w:lvl w:ilvl="1">
      <w:lvlJc w:val="left"/>
      <w:lvlText w:val="(%2)"/>
      <w:numFmt w:val="lowerLetter"/>
      <w:start w:val="39"/>
    </w:lvl>
  </w:abstractNum>
  <w:abstractNum w:abstractNumId="47">
    <w:nsid w:val="684A481A"/>
    <w:multiLevelType w:val="hybridMultilevel"/>
    <w:lvl w:ilvl="0">
      <w:lvlJc w:val="left"/>
      <w:lvlText w:val="(%1)"/>
      <w:numFmt w:val="decimal"/>
      <w:start w:val="7"/>
    </w:lvl>
    <w:lvl w:ilvl="1">
      <w:lvlJc w:val="left"/>
      <w:lvlText w:val="(%2)"/>
      <w:numFmt w:val="lowerLetter"/>
      <w:start w:val="40"/>
    </w:lvl>
  </w:abstractNum>
  <w:abstractNum w:abstractNumId="48">
    <w:nsid w:val="579478FE"/>
    <w:multiLevelType w:val="hybridMultilevel"/>
    <w:lvl w:ilvl="0">
      <w:lvlJc w:val="left"/>
      <w:lvlText w:val="(%1)"/>
      <w:numFmt w:val="lowerLetter"/>
      <w:start w:val="47"/>
    </w:lvl>
  </w:abstractNum>
  <w:abstractNum w:abstractNumId="49">
    <w:nsid w:val="749ABB43"/>
    <w:multiLevelType w:val="hybridMultilevel"/>
    <w:lvl w:ilvl="0">
      <w:lvlJc w:val="left"/>
      <w:lvlText w:val="(%1)"/>
      <w:numFmt w:val="lowerLetter"/>
      <w:start w:val="5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2026-06-09T15:09:46Z</dcterms:created>
  <dcterms:modified xsi:type="dcterms:W3CDTF">2026-06-09T15:09:46Z</dcterms:modified>
</cp:coreProperties>
</file>